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787F" w14:textId="77777777" w:rsidR="00C723C9" w:rsidRPr="00A27AD9" w:rsidRDefault="00D57474" w:rsidP="00A27AD9">
      <w:pPr>
        <w:jc w:val="center"/>
        <w:rPr>
          <w:rFonts w:ascii="Garamond" w:hAnsi="Garamond"/>
        </w:rPr>
      </w:pPr>
      <w:r w:rsidRPr="00A27AD9">
        <w:rPr>
          <w:rFonts w:ascii="Garamond" w:hAnsi="Garamond"/>
        </w:rPr>
        <w:t>Le philosophe à l’atelier d’artiste</w:t>
      </w:r>
    </w:p>
    <w:p w14:paraId="14D7630D" w14:textId="77777777" w:rsidR="00D57474" w:rsidRPr="00A27AD9" w:rsidRDefault="00D57474" w:rsidP="00A27AD9">
      <w:pPr>
        <w:jc w:val="both"/>
        <w:rPr>
          <w:rFonts w:ascii="Garamond" w:hAnsi="Garamond"/>
        </w:rPr>
      </w:pPr>
    </w:p>
    <w:p w14:paraId="25FFA511" w14:textId="77777777" w:rsidR="00247672" w:rsidRDefault="00247672" w:rsidP="00A27AD9">
      <w:pPr>
        <w:jc w:val="both"/>
        <w:rPr>
          <w:rFonts w:ascii="Garamond" w:hAnsi="Garamond"/>
        </w:rPr>
      </w:pPr>
    </w:p>
    <w:p w14:paraId="5B6C519E" w14:textId="77777777" w:rsidR="00247672" w:rsidRDefault="00247672" w:rsidP="00A27AD9">
      <w:pPr>
        <w:jc w:val="both"/>
        <w:rPr>
          <w:rFonts w:ascii="Garamond" w:hAnsi="Garamond"/>
        </w:rPr>
      </w:pPr>
      <w:r>
        <w:rPr>
          <w:rFonts w:ascii="Garamond" w:hAnsi="Garamond"/>
        </w:rPr>
        <w:t>Que vient faire le philosophe dans un projet de création-recherche </w:t>
      </w:r>
      <w:r w:rsidR="00C9610B">
        <w:rPr>
          <w:rFonts w:ascii="Garamond" w:hAnsi="Garamond"/>
        </w:rPr>
        <w:t>en arts</w:t>
      </w:r>
      <w:r w:rsidR="00911C91">
        <w:rPr>
          <w:rFonts w:ascii="Garamond" w:hAnsi="Garamond"/>
        </w:rPr>
        <w:t xml:space="preserve"> </w:t>
      </w:r>
      <w:r>
        <w:rPr>
          <w:rFonts w:ascii="Garamond" w:hAnsi="Garamond"/>
        </w:rPr>
        <w:t>? Quelle est sa légitimité </w:t>
      </w:r>
      <w:r w:rsidR="00AC57D4">
        <w:rPr>
          <w:rFonts w:ascii="Garamond" w:hAnsi="Garamond"/>
        </w:rPr>
        <w:t>pour en parler</w:t>
      </w:r>
      <w:r w:rsidR="00C9610B">
        <w:rPr>
          <w:rFonts w:ascii="Garamond" w:hAnsi="Garamond"/>
        </w:rPr>
        <w:t xml:space="preserve"> </w:t>
      </w:r>
      <w:r>
        <w:rPr>
          <w:rFonts w:ascii="Garamond" w:hAnsi="Garamond"/>
        </w:rPr>
        <w:t xml:space="preserve">? </w:t>
      </w:r>
      <w:r w:rsidR="00C9610B">
        <w:rPr>
          <w:rFonts w:ascii="Garamond" w:hAnsi="Garamond"/>
        </w:rPr>
        <w:t>Quelles conséquences pour les arts peuvent être tirées de ses réflexions ?</w:t>
      </w:r>
    </w:p>
    <w:p w14:paraId="65840F6F" w14:textId="77777777" w:rsidR="00247672" w:rsidRDefault="00247672" w:rsidP="00A27AD9">
      <w:pPr>
        <w:jc w:val="both"/>
        <w:rPr>
          <w:rFonts w:ascii="Garamond" w:hAnsi="Garamond"/>
        </w:rPr>
      </w:pPr>
      <w:r w:rsidRPr="00C9610B">
        <w:rPr>
          <w:rFonts w:ascii="Garamond" w:hAnsi="Garamond"/>
          <w:color w:val="000000" w:themeColor="text1"/>
        </w:rPr>
        <w:t xml:space="preserve">Pour </w:t>
      </w:r>
      <w:r w:rsidR="00C9610B" w:rsidRPr="00C9610B">
        <w:rPr>
          <w:rFonts w:ascii="Garamond" w:hAnsi="Garamond"/>
          <w:color w:val="000000" w:themeColor="text1"/>
        </w:rPr>
        <w:t>traiter ces questions</w:t>
      </w:r>
      <w:r w:rsidRPr="00C9610B">
        <w:rPr>
          <w:rFonts w:ascii="Garamond" w:hAnsi="Garamond"/>
          <w:color w:val="000000" w:themeColor="text1"/>
        </w:rPr>
        <w:t xml:space="preserve">, qu’on nous permette ici plusieurs préalables qui nous mèneront peu à peu à une réponse. </w:t>
      </w:r>
      <w:r w:rsidR="00C9610B">
        <w:rPr>
          <w:rFonts w:ascii="Garamond" w:hAnsi="Garamond"/>
        </w:rPr>
        <w:t>Nous suivrons ici la pensée de Bernard Teyssèdre, et plus particulièrement un article de 1961</w:t>
      </w:r>
      <w:r w:rsidR="00C9610B">
        <w:rPr>
          <w:rStyle w:val="Appelnotedebasdep"/>
          <w:rFonts w:ascii="Garamond" w:hAnsi="Garamond"/>
        </w:rPr>
        <w:footnoteReference w:id="1"/>
      </w:r>
      <w:r w:rsidR="00C9610B">
        <w:rPr>
          <w:rFonts w:ascii="Garamond" w:hAnsi="Garamond"/>
        </w:rPr>
        <w:t xml:space="preserve"> dont nous essaierons de mont</w:t>
      </w:r>
      <w:r w:rsidR="00911C91">
        <w:rPr>
          <w:rFonts w:ascii="Garamond" w:hAnsi="Garamond"/>
        </w:rPr>
        <w:t>r</w:t>
      </w:r>
      <w:r w:rsidR="00C9610B">
        <w:rPr>
          <w:rFonts w:ascii="Garamond" w:hAnsi="Garamond"/>
        </w:rPr>
        <w:t xml:space="preserve">er le caractère programmatique. </w:t>
      </w:r>
    </w:p>
    <w:p w14:paraId="16510AE4" w14:textId="77777777" w:rsidR="00C9610B" w:rsidRDefault="00C9610B" w:rsidP="00A27AD9">
      <w:pPr>
        <w:jc w:val="both"/>
        <w:rPr>
          <w:rFonts w:ascii="Garamond" w:hAnsi="Garamond"/>
        </w:rPr>
      </w:pPr>
    </w:p>
    <w:p w14:paraId="3E1B8014" w14:textId="77777777" w:rsidR="00D57474" w:rsidRDefault="00D57474" w:rsidP="00A27AD9">
      <w:pPr>
        <w:jc w:val="both"/>
        <w:rPr>
          <w:rFonts w:ascii="Garamond" w:hAnsi="Garamond"/>
        </w:rPr>
      </w:pPr>
      <w:r w:rsidRPr="00A27AD9">
        <w:rPr>
          <w:rFonts w:ascii="Garamond" w:hAnsi="Garamond"/>
        </w:rPr>
        <w:t xml:space="preserve">Les relations </w:t>
      </w:r>
      <w:r w:rsidR="00F63F8F">
        <w:rPr>
          <w:rFonts w:ascii="Garamond" w:hAnsi="Garamond"/>
        </w:rPr>
        <w:t xml:space="preserve">très anciennes </w:t>
      </w:r>
      <w:r w:rsidRPr="00A27AD9">
        <w:rPr>
          <w:rFonts w:ascii="Garamond" w:hAnsi="Garamond"/>
        </w:rPr>
        <w:t xml:space="preserve">de la philosophie à l’activité artistique peuvent être multiples selon la situation que le philosophe se donne. Il peut être </w:t>
      </w:r>
      <w:r w:rsidR="00C9610B">
        <w:rPr>
          <w:rFonts w:ascii="Garamond" w:hAnsi="Garamond"/>
        </w:rPr>
        <w:t xml:space="preserve">un amateur </w:t>
      </w:r>
      <w:r w:rsidR="00F63F8F">
        <w:rPr>
          <w:rFonts w:ascii="Garamond" w:hAnsi="Garamond"/>
        </w:rPr>
        <w:t>éclairé</w:t>
      </w:r>
      <w:r w:rsidR="00C9610B">
        <w:rPr>
          <w:rFonts w:ascii="Garamond" w:hAnsi="Garamond"/>
        </w:rPr>
        <w:t xml:space="preserve">, </w:t>
      </w:r>
      <w:r w:rsidRPr="00A27AD9">
        <w:rPr>
          <w:rFonts w:ascii="Garamond" w:hAnsi="Garamond"/>
        </w:rPr>
        <w:t>un observateur interrogatif, un enquêteur, un normalisateur, un prescripteur</w:t>
      </w:r>
      <w:r w:rsidR="00F63F8F">
        <w:rPr>
          <w:rFonts w:ascii="Garamond" w:hAnsi="Garamond"/>
        </w:rPr>
        <w:t>, voire un censeur</w:t>
      </w:r>
      <w:r w:rsidRPr="00A27AD9">
        <w:rPr>
          <w:rFonts w:ascii="Garamond" w:hAnsi="Garamond"/>
        </w:rPr>
        <w:t xml:space="preserve">. </w:t>
      </w:r>
      <w:r w:rsidR="006F5B5C">
        <w:rPr>
          <w:rFonts w:ascii="Garamond" w:hAnsi="Garamond"/>
        </w:rPr>
        <w:t xml:space="preserve">Il établit des définitions, des valeurs, des classements, des hiérarchies quand bien même ce serait pour les dénoncer. </w:t>
      </w:r>
      <w:r w:rsidR="00A27AD9" w:rsidRPr="00A27AD9">
        <w:rPr>
          <w:rFonts w:ascii="Garamond" w:hAnsi="Garamond"/>
        </w:rPr>
        <w:t>L’artiste</w:t>
      </w:r>
      <w:r w:rsidR="00631D4B">
        <w:rPr>
          <w:rFonts w:ascii="Garamond" w:hAnsi="Garamond"/>
        </w:rPr>
        <w:t xml:space="preserve">, </w:t>
      </w:r>
      <w:r w:rsidR="00A27AD9" w:rsidRPr="00A27AD9">
        <w:rPr>
          <w:rFonts w:ascii="Garamond" w:hAnsi="Garamond"/>
        </w:rPr>
        <w:t>de son côté, répond</w:t>
      </w:r>
      <w:r w:rsidR="006F5B5C">
        <w:rPr>
          <w:rFonts w:ascii="Garamond" w:hAnsi="Garamond"/>
        </w:rPr>
        <w:t xml:space="preserve"> plus ou moins</w:t>
      </w:r>
      <w:r w:rsidR="00A27AD9" w:rsidRPr="00A27AD9">
        <w:rPr>
          <w:rFonts w:ascii="Garamond" w:hAnsi="Garamond"/>
        </w:rPr>
        <w:t>, joue le jeu, laisse parler</w:t>
      </w:r>
      <w:r w:rsidR="00F63F8F">
        <w:rPr>
          <w:rFonts w:ascii="Garamond" w:hAnsi="Garamond"/>
        </w:rPr>
        <w:t xml:space="preserve"> mais continue de faire</w:t>
      </w:r>
      <w:r w:rsidR="00911C91">
        <w:rPr>
          <w:rFonts w:ascii="Garamond" w:hAnsi="Garamond"/>
        </w:rPr>
        <w:t xml:space="preserve"> et</w:t>
      </w:r>
      <w:r w:rsidR="00F63F8F">
        <w:rPr>
          <w:rFonts w:ascii="Garamond" w:hAnsi="Garamond"/>
        </w:rPr>
        <w:t xml:space="preserve"> de n’en faire qu’à sa tête</w:t>
      </w:r>
      <w:r w:rsidR="00A27AD9" w:rsidRPr="00A27AD9">
        <w:rPr>
          <w:rFonts w:ascii="Garamond" w:hAnsi="Garamond"/>
        </w:rPr>
        <w:t xml:space="preserve">… Car le philosophe de l’art procède </w:t>
      </w:r>
      <w:r w:rsidR="00A27AD9">
        <w:rPr>
          <w:rFonts w:ascii="Garamond" w:hAnsi="Garamond"/>
        </w:rPr>
        <w:t xml:space="preserve">somme toute </w:t>
      </w:r>
      <w:r w:rsidR="00A27AD9" w:rsidRPr="00A27AD9">
        <w:rPr>
          <w:rFonts w:ascii="Garamond" w:hAnsi="Garamond"/>
        </w:rPr>
        <w:t xml:space="preserve">en philosophe : il part de la notion, du concept, pour en venir à l’œuvre. Celle-ci, que ce soit </w:t>
      </w:r>
      <w:r w:rsidR="00A27AD9" w:rsidRPr="00A27AD9">
        <w:rPr>
          <w:rFonts w:ascii="Garamond" w:hAnsi="Garamond"/>
          <w:i/>
          <w:iCs/>
        </w:rPr>
        <w:t>Antigone</w:t>
      </w:r>
      <w:r w:rsidR="00A27AD9" w:rsidRPr="00A27AD9">
        <w:rPr>
          <w:rFonts w:ascii="Garamond" w:hAnsi="Garamond"/>
        </w:rPr>
        <w:t xml:space="preserve"> </w:t>
      </w:r>
      <w:r w:rsidR="00F63F8F">
        <w:rPr>
          <w:rFonts w:ascii="Garamond" w:hAnsi="Garamond"/>
        </w:rPr>
        <w:t>de Sophocl</w:t>
      </w:r>
      <w:r w:rsidR="00911C91">
        <w:rPr>
          <w:rFonts w:ascii="Garamond" w:hAnsi="Garamond"/>
        </w:rPr>
        <w:t xml:space="preserve">e </w:t>
      </w:r>
      <w:r w:rsidR="00A27AD9" w:rsidRPr="00A27AD9">
        <w:rPr>
          <w:rFonts w:ascii="Garamond" w:hAnsi="Garamond"/>
        </w:rPr>
        <w:t xml:space="preserve">ou </w:t>
      </w:r>
      <w:r w:rsidR="00A27AD9" w:rsidRPr="00A27AD9">
        <w:rPr>
          <w:rFonts w:ascii="Garamond" w:hAnsi="Garamond"/>
          <w:i/>
          <w:iCs/>
        </w:rPr>
        <w:t>Les Souliers</w:t>
      </w:r>
      <w:r w:rsidR="00F63F8F">
        <w:rPr>
          <w:rFonts w:ascii="Garamond" w:hAnsi="Garamond"/>
          <w:i/>
          <w:iCs/>
        </w:rPr>
        <w:t xml:space="preserve"> </w:t>
      </w:r>
      <w:r w:rsidR="00F63F8F" w:rsidRPr="00F63F8F">
        <w:rPr>
          <w:rFonts w:ascii="Garamond" w:hAnsi="Garamond"/>
        </w:rPr>
        <w:t>de van Gogh</w:t>
      </w:r>
      <w:r w:rsidR="00A27AD9" w:rsidRPr="00F63F8F">
        <w:rPr>
          <w:rFonts w:ascii="Garamond" w:hAnsi="Garamond"/>
        </w:rPr>
        <w:t>, est l’illustration d’une doctrine préétablie, d’un système dont elle est une confirmation</w:t>
      </w:r>
      <w:r w:rsidR="00A27AD9" w:rsidRPr="00A27AD9">
        <w:rPr>
          <w:rFonts w:ascii="Garamond" w:hAnsi="Garamond"/>
        </w:rPr>
        <w:t xml:space="preserve"> par l’exemple</w:t>
      </w:r>
      <w:r w:rsidR="00C9610B">
        <w:rPr>
          <w:rFonts w:ascii="Garamond" w:hAnsi="Garamond"/>
        </w:rPr>
        <w:t>, d’une méthode qu’elle met en œuvre.</w:t>
      </w:r>
      <w:r w:rsidR="00A27AD9" w:rsidRPr="00A27AD9">
        <w:rPr>
          <w:rFonts w:ascii="Garamond" w:hAnsi="Garamond"/>
        </w:rPr>
        <w:t xml:space="preserve"> </w:t>
      </w:r>
      <w:r w:rsidRPr="00A27AD9">
        <w:rPr>
          <w:rFonts w:ascii="Garamond" w:hAnsi="Garamond"/>
        </w:rPr>
        <w:t>L’artiste</w:t>
      </w:r>
      <w:r w:rsidR="00247672">
        <w:rPr>
          <w:rFonts w:ascii="Garamond" w:hAnsi="Garamond"/>
        </w:rPr>
        <w:t xml:space="preserve"> ou l’art</w:t>
      </w:r>
      <w:r w:rsidRPr="00A27AD9">
        <w:rPr>
          <w:rFonts w:ascii="Garamond" w:hAnsi="Garamond"/>
        </w:rPr>
        <w:t xml:space="preserve">, qu’il s’appelle Homère </w:t>
      </w:r>
      <w:r w:rsidR="00A27AD9" w:rsidRPr="00A27AD9">
        <w:rPr>
          <w:rFonts w:ascii="Garamond" w:hAnsi="Garamond"/>
        </w:rPr>
        <w:t xml:space="preserve">(Platon) </w:t>
      </w:r>
      <w:r w:rsidRPr="00A27AD9">
        <w:rPr>
          <w:rFonts w:ascii="Garamond" w:hAnsi="Garamond"/>
        </w:rPr>
        <w:t>ou Hölderlin</w:t>
      </w:r>
      <w:r w:rsidR="00A27AD9" w:rsidRPr="00A27AD9">
        <w:rPr>
          <w:rFonts w:ascii="Garamond" w:hAnsi="Garamond"/>
        </w:rPr>
        <w:t xml:space="preserve"> (Heidegger)</w:t>
      </w:r>
      <w:r w:rsidR="00A27AD9">
        <w:rPr>
          <w:rFonts w:ascii="Garamond" w:hAnsi="Garamond"/>
        </w:rPr>
        <w:t>,</w:t>
      </w:r>
      <w:r w:rsidR="00631D4B">
        <w:rPr>
          <w:rFonts w:ascii="Garamond" w:hAnsi="Garamond"/>
        </w:rPr>
        <w:t xml:space="preserve"> </w:t>
      </w:r>
      <w:r w:rsidR="00A27AD9" w:rsidRPr="00A27AD9">
        <w:rPr>
          <w:rFonts w:ascii="Garamond" w:hAnsi="Garamond"/>
        </w:rPr>
        <w:t xml:space="preserve">Carpaccio (Serres) ou </w:t>
      </w:r>
      <w:r w:rsidR="00A27AD9">
        <w:rPr>
          <w:rFonts w:ascii="Garamond" w:hAnsi="Garamond"/>
        </w:rPr>
        <w:t xml:space="preserve">Cézanne (Merleau-Ponty), </w:t>
      </w:r>
      <w:r w:rsidR="00247672">
        <w:rPr>
          <w:rFonts w:ascii="Garamond" w:hAnsi="Garamond"/>
        </w:rPr>
        <w:t xml:space="preserve">musique dorienne (Platon) ou musique de cinéma (Adorno), est posé par le philosophe comme un </w:t>
      </w:r>
      <w:r w:rsidR="00247672" w:rsidRPr="00247672">
        <w:rPr>
          <w:rFonts w:ascii="Garamond" w:hAnsi="Garamond"/>
          <w:i/>
          <w:iCs/>
        </w:rPr>
        <w:t>alter ego</w:t>
      </w:r>
      <w:r w:rsidR="00247672">
        <w:rPr>
          <w:rFonts w:ascii="Garamond" w:hAnsi="Garamond"/>
        </w:rPr>
        <w:t xml:space="preserve"> : </w:t>
      </w:r>
      <w:r w:rsidR="00C9610B">
        <w:rPr>
          <w:rFonts w:ascii="Garamond" w:hAnsi="Garamond"/>
        </w:rPr>
        <w:t>ça</w:t>
      </w:r>
      <w:r w:rsidR="00247672">
        <w:rPr>
          <w:rFonts w:ascii="Garamond" w:hAnsi="Garamond"/>
        </w:rPr>
        <w:t xml:space="preserve"> pense mais dans une altérité. La tradition défini</w:t>
      </w:r>
      <w:r w:rsidR="006F5B5C">
        <w:rPr>
          <w:rFonts w:ascii="Garamond" w:hAnsi="Garamond"/>
        </w:rPr>
        <w:t>t</w:t>
      </w:r>
      <w:r w:rsidR="00247672">
        <w:rPr>
          <w:rFonts w:ascii="Garamond" w:hAnsi="Garamond"/>
        </w:rPr>
        <w:t xml:space="preserve"> cette songerie comme </w:t>
      </w:r>
      <w:r w:rsidR="00247672" w:rsidRPr="00247672">
        <w:rPr>
          <w:rFonts w:ascii="Garamond" w:hAnsi="Garamond"/>
          <w:i/>
          <w:iCs/>
        </w:rPr>
        <w:t>allégorie</w:t>
      </w:r>
      <w:r w:rsidR="00247672">
        <w:rPr>
          <w:rFonts w:ascii="Garamond" w:hAnsi="Garamond"/>
        </w:rPr>
        <w:t> : l’autre agora.</w:t>
      </w:r>
    </w:p>
    <w:p w14:paraId="400D6265" w14:textId="77777777" w:rsidR="008B7B5F" w:rsidRDefault="00247672" w:rsidP="00A27AD9">
      <w:pPr>
        <w:jc w:val="both"/>
        <w:rPr>
          <w:rFonts w:ascii="Garamond" w:hAnsi="Garamond"/>
        </w:rPr>
      </w:pPr>
      <w:r>
        <w:rPr>
          <w:rFonts w:ascii="Garamond" w:hAnsi="Garamond"/>
        </w:rPr>
        <w:t>Est-ce dire que toute la tradition de l’esthétique pense uniment, de Baumgarten</w:t>
      </w:r>
      <w:r w:rsidR="006F5B5C">
        <w:rPr>
          <w:rFonts w:ascii="Garamond" w:hAnsi="Garamond"/>
        </w:rPr>
        <w:t xml:space="preserve"> à Dewey, en passant par Hume ou Brentano, Burke ou Souriau ? Certes non, et l’intelligence du philosophe Bernard Teyssèdre fut de comprendre que le rapport de Hegel à l’art et aux artistes était singulier puis d’en tirer une conséquence pour l’enseignement et la reconnaissance des arts au sein du monde académique. </w:t>
      </w:r>
    </w:p>
    <w:p w14:paraId="5C84A271" w14:textId="77777777" w:rsidR="00E373D2" w:rsidRDefault="00AC57D4" w:rsidP="00A27AD9">
      <w:pPr>
        <w:jc w:val="both"/>
        <w:rPr>
          <w:rFonts w:ascii="Garamond" w:hAnsi="Garamond"/>
        </w:rPr>
      </w:pPr>
      <w:r>
        <w:rPr>
          <w:rFonts w:ascii="Garamond" w:hAnsi="Garamond"/>
        </w:rPr>
        <w:t>Teyssèdre fut un lecteur et un commentateur de la pensée hégélienne, particulièrement du statut de l’art dans le système du penseur berlinois. Il comprit que Hegel voulut</w:t>
      </w:r>
      <w:r w:rsidR="00631D4B">
        <w:rPr>
          <w:rFonts w:ascii="Garamond" w:hAnsi="Garamond"/>
        </w:rPr>
        <w:t xml:space="preserve"> renoncer à </w:t>
      </w:r>
      <w:r w:rsidR="005F6138">
        <w:rPr>
          <w:rFonts w:ascii="Garamond" w:hAnsi="Garamond"/>
        </w:rPr>
        <w:t>« </w:t>
      </w:r>
      <w:r w:rsidR="00631D4B">
        <w:rPr>
          <w:rFonts w:ascii="Garamond" w:hAnsi="Garamond"/>
        </w:rPr>
        <w:t xml:space="preserve">une </w:t>
      </w:r>
      <w:r w:rsidR="005F6138">
        <w:rPr>
          <w:rFonts w:ascii="Garamond" w:hAnsi="Garamond"/>
        </w:rPr>
        <w:t xml:space="preserve">méthode </w:t>
      </w:r>
      <w:r w:rsidR="005F6138" w:rsidRPr="005F6138">
        <w:rPr>
          <w:rFonts w:ascii="Garamond" w:hAnsi="Garamond"/>
          <w:i/>
          <w:iCs/>
        </w:rPr>
        <w:t>réflexive</w:t>
      </w:r>
      <w:r w:rsidR="005F6138">
        <w:rPr>
          <w:rFonts w:ascii="Garamond" w:hAnsi="Garamond"/>
        </w:rPr>
        <w:t xml:space="preserve"> qui interrogerait du </w:t>
      </w:r>
      <w:r w:rsidR="005F6138" w:rsidRPr="005F6138">
        <w:rPr>
          <w:rFonts w:ascii="Garamond" w:hAnsi="Garamond"/>
          <w:i/>
          <w:iCs/>
        </w:rPr>
        <w:t>dehors</w:t>
      </w:r>
      <w:r w:rsidR="005F6138">
        <w:rPr>
          <w:rFonts w:ascii="Garamond" w:hAnsi="Garamond"/>
        </w:rPr>
        <w:t xml:space="preserve"> son objet »</w:t>
      </w:r>
      <w:r>
        <w:rPr>
          <w:rFonts w:ascii="Garamond" w:hAnsi="Garamond"/>
        </w:rPr>
        <w:t>.</w:t>
      </w:r>
      <w:r>
        <w:rPr>
          <w:rStyle w:val="Appelnotedebasdep"/>
          <w:rFonts w:ascii="Garamond" w:hAnsi="Garamond"/>
        </w:rPr>
        <w:footnoteReference w:id="2"/>
      </w:r>
      <w:r>
        <w:rPr>
          <w:rFonts w:ascii="Garamond" w:hAnsi="Garamond"/>
        </w:rPr>
        <w:t xml:space="preserve"> Non pas renoncer à </w:t>
      </w:r>
      <w:r w:rsidR="0020454B">
        <w:rPr>
          <w:rFonts w:ascii="Garamond" w:hAnsi="Garamond"/>
        </w:rPr>
        <w:t>toute</w:t>
      </w:r>
      <w:r>
        <w:rPr>
          <w:rFonts w:ascii="Garamond" w:hAnsi="Garamond"/>
        </w:rPr>
        <w:t xml:space="preserve"> méthode réflexive, mais à une investigation</w:t>
      </w:r>
      <w:r w:rsidR="0020454B">
        <w:rPr>
          <w:rFonts w:ascii="Garamond" w:hAnsi="Garamond"/>
        </w:rPr>
        <w:t xml:space="preserve"> qui resterait</w:t>
      </w:r>
      <w:r>
        <w:rPr>
          <w:rFonts w:ascii="Garamond" w:hAnsi="Garamond"/>
        </w:rPr>
        <w:t xml:space="preserve"> extérieure à son objet. Autrement dit : si la philosophie de l’art veut interroger l’art, alors elle doit le faire depuis une méthode réflexive </w:t>
      </w:r>
      <w:r w:rsidRPr="00AC57D4">
        <w:rPr>
          <w:rFonts w:ascii="Garamond" w:hAnsi="Garamond"/>
          <w:i/>
          <w:iCs/>
        </w:rPr>
        <w:t>immanente</w:t>
      </w:r>
      <w:r>
        <w:rPr>
          <w:rFonts w:ascii="Garamond" w:hAnsi="Garamond"/>
        </w:rPr>
        <w:t xml:space="preserve"> à l’art lui-même. Mais cela n’est possible que si l’activité artistique est </w:t>
      </w:r>
      <w:r w:rsidR="00C9610B">
        <w:rPr>
          <w:rFonts w:ascii="Garamond" w:hAnsi="Garamond"/>
        </w:rPr>
        <w:t xml:space="preserve">en </w:t>
      </w:r>
      <w:r>
        <w:rPr>
          <w:rFonts w:ascii="Garamond" w:hAnsi="Garamond"/>
        </w:rPr>
        <w:t xml:space="preserve">elle-même une activité réflexive. </w:t>
      </w:r>
      <w:r w:rsidR="0020454B">
        <w:rPr>
          <w:rFonts w:ascii="Garamond" w:hAnsi="Garamond"/>
        </w:rPr>
        <w:t>Et c</w:t>
      </w:r>
      <w:r>
        <w:rPr>
          <w:rFonts w:ascii="Garamond" w:hAnsi="Garamond"/>
        </w:rPr>
        <w:t>’est bien ce que toute</w:t>
      </w:r>
      <w:r w:rsidR="00C9610B">
        <w:rPr>
          <w:rFonts w:ascii="Garamond" w:hAnsi="Garamond"/>
        </w:rPr>
        <w:t xml:space="preserve">s </w:t>
      </w:r>
      <w:r w:rsidR="00F86187" w:rsidRPr="00F86187">
        <w:rPr>
          <w:rFonts w:ascii="Garamond" w:hAnsi="Garamond"/>
        </w:rPr>
        <w:t>l</w:t>
      </w:r>
      <w:r w:rsidR="00C9610B" w:rsidRPr="00F86187">
        <w:rPr>
          <w:rFonts w:ascii="Garamond" w:hAnsi="Garamond"/>
        </w:rPr>
        <w:t>es</w:t>
      </w:r>
      <w:r w:rsidR="00C9610B" w:rsidRPr="00C9610B">
        <w:rPr>
          <w:rFonts w:ascii="Garamond" w:hAnsi="Garamond"/>
          <w:i/>
          <w:iCs/>
        </w:rPr>
        <w:t xml:space="preserve"> Leçons sur l</w:t>
      </w:r>
      <w:r w:rsidRPr="00C9610B">
        <w:rPr>
          <w:rFonts w:ascii="Garamond" w:hAnsi="Garamond"/>
          <w:i/>
          <w:iCs/>
        </w:rPr>
        <w:t>’Esthétique</w:t>
      </w:r>
      <w:r>
        <w:rPr>
          <w:rFonts w:ascii="Garamond" w:hAnsi="Garamond"/>
        </w:rPr>
        <w:t xml:space="preserve"> s’attache à démontrer : « notre culture spirituelle tout entière est telle que cet artiste appartient à ce monde réflexif </w:t>
      </w:r>
      <w:r w:rsidR="00B771AC">
        <w:rPr>
          <w:rFonts w:ascii="Garamond" w:hAnsi="Garamond"/>
        </w:rPr>
        <w:t>(</w:t>
      </w:r>
      <w:r w:rsidR="00B771AC" w:rsidRPr="00B771AC">
        <w:rPr>
          <w:rFonts w:ascii="Garamond" w:hAnsi="Garamond"/>
          <w:i/>
          <w:iCs/>
        </w:rPr>
        <w:t>reflektierenden Welt</w:t>
      </w:r>
      <w:r w:rsidR="00B771AC">
        <w:rPr>
          <w:rFonts w:ascii="Garamond" w:hAnsi="Garamond"/>
        </w:rPr>
        <w:t xml:space="preserve">) </w:t>
      </w:r>
      <w:r>
        <w:rPr>
          <w:rFonts w:ascii="Garamond" w:hAnsi="Garamond"/>
        </w:rPr>
        <w:t>avec tous ses rapports ».</w:t>
      </w:r>
      <w:r>
        <w:rPr>
          <w:rStyle w:val="Appelnotedebasdep"/>
          <w:rFonts w:ascii="Garamond" w:hAnsi="Garamond"/>
        </w:rPr>
        <w:footnoteReference w:id="3"/>
      </w:r>
      <w:r w:rsidR="009837B5">
        <w:rPr>
          <w:rFonts w:ascii="Garamond" w:hAnsi="Garamond"/>
        </w:rPr>
        <w:t xml:space="preserve"> </w:t>
      </w:r>
    </w:p>
    <w:p w14:paraId="6758BC83" w14:textId="77777777" w:rsidR="00486F5F" w:rsidRDefault="009837B5" w:rsidP="00A27AD9">
      <w:pPr>
        <w:jc w:val="both"/>
        <w:rPr>
          <w:rFonts w:ascii="Garamond" w:hAnsi="Garamond"/>
        </w:rPr>
      </w:pPr>
      <w:r>
        <w:rPr>
          <w:rFonts w:ascii="Garamond" w:hAnsi="Garamond"/>
        </w:rPr>
        <w:t>Ceci amène Teyssèdre à réfléchir</w:t>
      </w:r>
      <w:r w:rsidR="00DE782B">
        <w:rPr>
          <w:rFonts w:ascii="Garamond" w:hAnsi="Garamond"/>
        </w:rPr>
        <w:t>, dans un article aussi dense que prospectif</w:t>
      </w:r>
      <w:r w:rsidR="00DE782B">
        <w:rPr>
          <w:rStyle w:val="Appelnotedebasdep"/>
          <w:rFonts w:ascii="Garamond" w:hAnsi="Garamond"/>
        </w:rPr>
        <w:footnoteReference w:id="4"/>
      </w:r>
      <w:r w:rsidR="00DE782B">
        <w:rPr>
          <w:rFonts w:ascii="Garamond" w:hAnsi="Garamond"/>
        </w:rPr>
        <w:t xml:space="preserve">, </w:t>
      </w:r>
      <w:r>
        <w:rPr>
          <w:rFonts w:ascii="Garamond" w:hAnsi="Garamond"/>
        </w:rPr>
        <w:t xml:space="preserve">sur les conditions </w:t>
      </w:r>
      <w:r w:rsidR="00DE782B">
        <w:rPr>
          <w:rFonts w:ascii="Garamond" w:hAnsi="Garamond"/>
        </w:rPr>
        <w:t>« </w:t>
      </w:r>
      <w:r>
        <w:rPr>
          <w:rFonts w:ascii="Garamond" w:hAnsi="Garamond"/>
        </w:rPr>
        <w:t>d</w:t>
      </w:r>
      <w:r w:rsidR="00DE782B">
        <w:rPr>
          <w:rFonts w:ascii="Garamond" w:hAnsi="Garamond"/>
        </w:rPr>
        <w:t>’</w:t>
      </w:r>
      <w:r>
        <w:rPr>
          <w:rFonts w:ascii="Garamond" w:hAnsi="Garamond"/>
        </w:rPr>
        <w:t>esthétique</w:t>
      </w:r>
      <w:r w:rsidR="00DE782B">
        <w:rPr>
          <w:rFonts w:ascii="Garamond" w:hAnsi="Garamond"/>
        </w:rPr>
        <w:t xml:space="preserve">s possibles ou non », i.e. à mesurer la possibilité d’une réflexion sur l’art à être réductrice de son objet, </w:t>
      </w:r>
      <w:r w:rsidR="00F86187">
        <w:rPr>
          <w:rFonts w:ascii="Garamond" w:hAnsi="Garamond"/>
        </w:rPr>
        <w:t xml:space="preserve">car l’art est toujours fuyant, </w:t>
      </w:r>
      <w:r w:rsidR="00DE782B">
        <w:rPr>
          <w:rFonts w:ascii="Garamond" w:hAnsi="Garamond"/>
        </w:rPr>
        <w:t xml:space="preserve">fictive car </w:t>
      </w:r>
      <w:r w:rsidR="00F86187">
        <w:rPr>
          <w:rFonts w:ascii="Garamond" w:hAnsi="Garamond"/>
        </w:rPr>
        <w:t xml:space="preserve">cette pensée reste </w:t>
      </w:r>
      <w:r w:rsidR="00DE782B">
        <w:rPr>
          <w:rFonts w:ascii="Garamond" w:hAnsi="Garamond"/>
        </w:rPr>
        <w:t xml:space="preserve">prise dans son système perdant de vue son objet, oiseuse car dénuée de sens. De l’art on peut dire que c’est un </w:t>
      </w:r>
      <w:r w:rsidR="00DE782B" w:rsidRPr="00DE782B">
        <w:rPr>
          <w:rFonts w:ascii="Garamond" w:hAnsi="Garamond"/>
          <w:i/>
          <w:iCs/>
        </w:rPr>
        <w:t>po</w:t>
      </w:r>
      <w:r w:rsidR="00911C91">
        <w:rPr>
          <w:rFonts w:ascii="Garamond" w:hAnsi="Garamond"/>
          <w:i/>
          <w:iCs/>
        </w:rPr>
        <w:t>ï</w:t>
      </w:r>
      <w:r w:rsidR="00DE782B" w:rsidRPr="00DE782B">
        <w:rPr>
          <w:rFonts w:ascii="Garamond" w:hAnsi="Garamond"/>
          <w:i/>
          <w:iCs/>
        </w:rPr>
        <w:t>on</w:t>
      </w:r>
      <w:r w:rsidR="00DE782B">
        <w:rPr>
          <w:rFonts w:ascii="Garamond" w:hAnsi="Garamond"/>
        </w:rPr>
        <w:t xml:space="preserve">, un faire mais dont on ne sait s’il relève d’une essence, d’une unité, d’une univocité, d’une universalité. En ce sens l’esthétique </w:t>
      </w:r>
      <w:r w:rsidR="00F86187">
        <w:rPr>
          <w:rFonts w:ascii="Garamond" w:hAnsi="Garamond"/>
        </w:rPr>
        <w:t xml:space="preserve">dite spéculative </w:t>
      </w:r>
      <w:r w:rsidR="00DE782B">
        <w:rPr>
          <w:rFonts w:ascii="Garamond" w:hAnsi="Garamond"/>
        </w:rPr>
        <w:t xml:space="preserve">est « gnomique » : elle produit des assertions qui ne sont que des expressions </w:t>
      </w:r>
      <w:r w:rsidR="00E373D2">
        <w:rPr>
          <w:rFonts w:ascii="Garamond" w:hAnsi="Garamond"/>
        </w:rPr>
        <w:t xml:space="preserve">dont on ne sait ce qu’elles expriment, et </w:t>
      </w:r>
      <w:r w:rsidR="0020454B">
        <w:rPr>
          <w:rFonts w:ascii="Garamond" w:hAnsi="Garamond"/>
        </w:rPr>
        <w:t xml:space="preserve">sont </w:t>
      </w:r>
      <w:r w:rsidR="00E373D2">
        <w:rPr>
          <w:rFonts w:ascii="Garamond" w:hAnsi="Garamond"/>
        </w:rPr>
        <w:t>donc dépourvues d’un coefficient de vérité. Mais</w:t>
      </w:r>
      <w:r w:rsidR="00F86187">
        <w:rPr>
          <w:rFonts w:ascii="Garamond" w:hAnsi="Garamond"/>
        </w:rPr>
        <w:t>, inversement,</w:t>
      </w:r>
      <w:r w:rsidR="00E373D2">
        <w:rPr>
          <w:rFonts w:ascii="Garamond" w:hAnsi="Garamond"/>
        </w:rPr>
        <w:t xml:space="preserve"> toute critique empirique de l’esthétique qui se contenterait de recenser des phénomènes culturels existants </w:t>
      </w:r>
      <w:r w:rsidR="00F63F8F">
        <w:rPr>
          <w:rFonts w:ascii="Garamond" w:hAnsi="Garamond"/>
        </w:rPr>
        <w:t>conduirait cette recension factuelle</w:t>
      </w:r>
      <w:r w:rsidR="00E373D2">
        <w:rPr>
          <w:rFonts w:ascii="Garamond" w:hAnsi="Garamond"/>
        </w:rPr>
        <w:t xml:space="preserve"> à une </w:t>
      </w:r>
      <w:r w:rsidR="00E373D2" w:rsidRPr="00F63F8F">
        <w:rPr>
          <w:rFonts w:ascii="Garamond" w:hAnsi="Garamond"/>
          <w:i/>
          <w:iCs/>
        </w:rPr>
        <w:t>histoire</w:t>
      </w:r>
      <w:r w:rsidR="00F63F8F" w:rsidRPr="00F63F8F">
        <w:rPr>
          <w:rFonts w:ascii="Garamond" w:hAnsi="Garamond"/>
          <w:i/>
          <w:iCs/>
        </w:rPr>
        <w:t xml:space="preserve"> des variations</w:t>
      </w:r>
      <w:r w:rsidR="00E373D2">
        <w:rPr>
          <w:rFonts w:ascii="Garamond" w:hAnsi="Garamond"/>
        </w:rPr>
        <w:t xml:space="preserve">. </w:t>
      </w:r>
    </w:p>
    <w:p w14:paraId="5244EA45" w14:textId="77777777" w:rsidR="00486F5F" w:rsidRDefault="0020454B" w:rsidP="00A27AD9">
      <w:pPr>
        <w:jc w:val="both"/>
        <w:rPr>
          <w:rFonts w:ascii="Garamond" w:hAnsi="Garamond"/>
        </w:rPr>
      </w:pPr>
      <w:r>
        <w:rPr>
          <w:rFonts w:ascii="Garamond" w:hAnsi="Garamond"/>
        </w:rPr>
        <w:lastRenderedPageBreak/>
        <w:t>Toutefois</w:t>
      </w:r>
      <w:r w:rsidR="00E373D2">
        <w:rPr>
          <w:rFonts w:ascii="Garamond" w:hAnsi="Garamond"/>
        </w:rPr>
        <w:t xml:space="preserve"> une telle histoire n’est pas linéaire car</w:t>
      </w:r>
      <w:r>
        <w:rPr>
          <w:rFonts w:ascii="Garamond" w:hAnsi="Garamond"/>
        </w:rPr>
        <w:t>, pour être réelle,</w:t>
      </w:r>
      <w:r w:rsidR="00E373D2">
        <w:rPr>
          <w:rFonts w:ascii="Garamond" w:hAnsi="Garamond"/>
        </w:rPr>
        <w:t xml:space="preserve"> elle doit tenir compte d’une </w:t>
      </w:r>
      <w:r w:rsidR="00E373D2" w:rsidRPr="00E373D2">
        <w:rPr>
          <w:rFonts w:ascii="Garamond" w:hAnsi="Garamond"/>
          <w:i/>
          <w:iCs/>
        </w:rPr>
        <w:t>praxis</w:t>
      </w:r>
      <w:r w:rsidR="00E373D2">
        <w:rPr>
          <w:rFonts w:ascii="Garamond" w:hAnsi="Garamond"/>
        </w:rPr>
        <w:t xml:space="preserve"> qui forme et transforme le système ouvert des catégories. Il en déduit que « toute théorie rationaliste de la culture doit avoir pour corollaire une théorie de l’émergence des créations culturelles »</w:t>
      </w:r>
      <w:r w:rsidR="00F63F8F">
        <w:rPr>
          <w:rFonts w:ascii="Garamond" w:hAnsi="Garamond"/>
        </w:rPr>
        <w:t>.</w:t>
      </w:r>
      <w:r w:rsidR="00E373D2">
        <w:rPr>
          <w:rStyle w:val="Appelnotedebasdep"/>
          <w:rFonts w:ascii="Garamond" w:hAnsi="Garamond"/>
        </w:rPr>
        <w:footnoteReference w:id="5"/>
      </w:r>
      <w:r w:rsidR="00E373D2">
        <w:rPr>
          <w:rFonts w:ascii="Garamond" w:hAnsi="Garamond"/>
        </w:rPr>
        <w:t xml:space="preserve"> </w:t>
      </w:r>
      <w:r w:rsidR="00F63F8F">
        <w:rPr>
          <w:rFonts w:ascii="Garamond" w:hAnsi="Garamond"/>
        </w:rPr>
        <w:t>Penser la culture a pour co</w:t>
      </w:r>
      <w:r w:rsidR="008A73F8">
        <w:rPr>
          <w:rFonts w:ascii="Garamond" w:hAnsi="Garamond"/>
        </w:rPr>
        <w:t>nséquenc</w:t>
      </w:r>
      <w:r w:rsidR="00F63F8F">
        <w:rPr>
          <w:rFonts w:ascii="Garamond" w:hAnsi="Garamond"/>
        </w:rPr>
        <w:t xml:space="preserve">e d’en penser les modifications, car son passé est sans cesse amendé par son avenir ; et penser une époque revient à faire retour vers le temps </w:t>
      </w:r>
      <w:r w:rsidR="008A73F8">
        <w:rPr>
          <w:rFonts w:ascii="Garamond" w:hAnsi="Garamond"/>
        </w:rPr>
        <w:t>neutre</w:t>
      </w:r>
      <w:r w:rsidR="00F63F8F">
        <w:rPr>
          <w:rFonts w:ascii="Garamond" w:hAnsi="Garamond"/>
        </w:rPr>
        <w:t xml:space="preserve"> d’une émergence non prédéterminé</w:t>
      </w:r>
      <w:r w:rsidR="008A73F8">
        <w:rPr>
          <w:rFonts w:ascii="Garamond" w:hAnsi="Garamond"/>
        </w:rPr>
        <w:t>e</w:t>
      </w:r>
      <w:r w:rsidR="00F63F8F">
        <w:rPr>
          <w:rFonts w:ascii="Garamond" w:hAnsi="Garamond"/>
        </w:rPr>
        <w:t xml:space="preserve"> par l’état du passé. </w:t>
      </w:r>
      <w:r w:rsidR="00E373D2">
        <w:rPr>
          <w:rFonts w:ascii="Garamond" w:hAnsi="Garamond"/>
        </w:rPr>
        <w:t>Cette histoire de l’art n’est pas le récit des créations passées, mais la synthèse d’émergences cumulatives, coïncidentes, coexistantes : par ex</w:t>
      </w:r>
      <w:r w:rsidR="00F63F8F">
        <w:rPr>
          <w:rFonts w:ascii="Garamond" w:hAnsi="Garamond"/>
        </w:rPr>
        <w:t>emple, en peinture une réactivation</w:t>
      </w:r>
      <w:r w:rsidR="00E373D2">
        <w:rPr>
          <w:rFonts w:ascii="Garamond" w:hAnsi="Garamond"/>
        </w:rPr>
        <w:t xml:space="preserve"> du figuratif </w:t>
      </w:r>
      <w:r w:rsidR="00486F5F">
        <w:rPr>
          <w:rStyle w:val="Appelnotedebasdep"/>
          <w:rFonts w:ascii="Garamond" w:hAnsi="Garamond"/>
        </w:rPr>
        <w:footnoteReference w:id="6"/>
      </w:r>
      <w:r w:rsidR="001378D7">
        <w:rPr>
          <w:rFonts w:ascii="Garamond" w:hAnsi="Garamond"/>
        </w:rPr>
        <w:t xml:space="preserve"> </w:t>
      </w:r>
      <w:r w:rsidR="00E373D2">
        <w:rPr>
          <w:rFonts w:ascii="Garamond" w:hAnsi="Garamond"/>
        </w:rPr>
        <w:t xml:space="preserve">n’abolit pas l’abstraction car la vie des créations se fait en dehors de la narration historique. </w:t>
      </w:r>
    </w:p>
    <w:p w14:paraId="38DC3C7F" w14:textId="77777777" w:rsidR="004B470E" w:rsidRDefault="002A6AE0" w:rsidP="00A27AD9">
      <w:pPr>
        <w:jc w:val="both"/>
        <w:rPr>
          <w:rFonts w:ascii="Garamond" w:hAnsi="Garamond"/>
        </w:rPr>
      </w:pPr>
      <w:r>
        <w:rPr>
          <w:rFonts w:ascii="Garamond" w:hAnsi="Garamond"/>
        </w:rPr>
        <w:t xml:space="preserve">L’art est en devenir, un devenir tenant ensemble ses phénomènes extrêmes. Mais cette dimension </w:t>
      </w:r>
      <w:r w:rsidRPr="002A6AE0">
        <w:rPr>
          <w:rFonts w:ascii="Garamond" w:hAnsi="Garamond"/>
          <w:i/>
          <w:iCs/>
        </w:rPr>
        <w:t>événementielle</w:t>
      </w:r>
      <w:r>
        <w:rPr>
          <w:rFonts w:ascii="Garamond" w:hAnsi="Garamond"/>
        </w:rPr>
        <w:t xml:space="preserve"> des arts toujours vivants, qui condamne </w:t>
      </w:r>
      <w:r w:rsidR="001378D7">
        <w:rPr>
          <w:rFonts w:ascii="Garamond" w:hAnsi="Garamond"/>
        </w:rPr>
        <w:t xml:space="preserve">à l’échec </w:t>
      </w:r>
      <w:r>
        <w:rPr>
          <w:rFonts w:ascii="Garamond" w:hAnsi="Garamond"/>
        </w:rPr>
        <w:t xml:space="preserve">une esthétique de l’Absolu </w:t>
      </w:r>
      <w:r w:rsidR="008A73F8">
        <w:rPr>
          <w:rFonts w:ascii="Garamond" w:hAnsi="Garamond"/>
        </w:rPr>
        <w:t>(par ex. Schelling)</w:t>
      </w:r>
      <w:r>
        <w:rPr>
          <w:rFonts w:ascii="Garamond" w:hAnsi="Garamond"/>
        </w:rPr>
        <w:t>, ne se réduit pas à un simple jeu de variations au sens où justement ces variations hétéronomes peuvent être conceptualisés par des invariances relatives</w:t>
      </w:r>
      <w:r>
        <w:rPr>
          <w:rStyle w:val="Appelnotedebasdep"/>
          <w:rFonts w:ascii="Garamond" w:hAnsi="Garamond"/>
        </w:rPr>
        <w:footnoteReference w:id="7"/>
      </w:r>
      <w:r>
        <w:rPr>
          <w:rFonts w:ascii="Garamond" w:hAnsi="Garamond"/>
        </w:rPr>
        <w:t xml:space="preserve">. </w:t>
      </w:r>
      <w:r w:rsidR="00D24593">
        <w:rPr>
          <w:rFonts w:ascii="Garamond" w:hAnsi="Garamond"/>
        </w:rPr>
        <w:t>S’il y a des déterminations historiques et culturelles à l’art qui situent toute création comme une conduite individuelle (</w:t>
      </w:r>
      <w:r w:rsidR="00D24593" w:rsidRPr="0020454B">
        <w:rPr>
          <w:rFonts w:ascii="Garamond" w:hAnsi="Garamond"/>
          <w:i/>
          <w:iCs/>
        </w:rPr>
        <w:t>hexis</w:t>
      </w:r>
      <w:r w:rsidR="00D24593">
        <w:rPr>
          <w:rFonts w:ascii="Garamond" w:hAnsi="Garamond"/>
        </w:rPr>
        <w:t xml:space="preserve">) comprise dans une </w:t>
      </w:r>
      <w:r w:rsidR="007F4F65">
        <w:rPr>
          <w:rFonts w:ascii="Garamond" w:hAnsi="Garamond"/>
        </w:rPr>
        <w:t>action</w:t>
      </w:r>
      <w:r w:rsidR="00D24593">
        <w:rPr>
          <w:rFonts w:ascii="Garamond" w:hAnsi="Garamond"/>
        </w:rPr>
        <w:t xml:space="preserve"> sociale</w:t>
      </w:r>
      <w:r w:rsidR="007F4F65">
        <w:rPr>
          <w:rFonts w:ascii="Garamond" w:hAnsi="Garamond"/>
        </w:rPr>
        <w:t>ment définie</w:t>
      </w:r>
      <w:r w:rsidR="00D24593">
        <w:rPr>
          <w:rFonts w:ascii="Garamond" w:hAnsi="Garamond"/>
        </w:rPr>
        <w:t xml:space="preserve"> (</w:t>
      </w:r>
      <w:r w:rsidR="00D24593" w:rsidRPr="0020454B">
        <w:rPr>
          <w:rFonts w:ascii="Garamond" w:hAnsi="Garamond"/>
          <w:i/>
          <w:iCs/>
        </w:rPr>
        <w:t>praxis</w:t>
      </w:r>
      <w:r w:rsidR="00D24593">
        <w:rPr>
          <w:rFonts w:ascii="Garamond" w:hAnsi="Garamond"/>
        </w:rPr>
        <w:t>)</w:t>
      </w:r>
      <w:r w:rsidR="007F4F65">
        <w:rPr>
          <w:rStyle w:val="Appelnotedebasdep"/>
          <w:rFonts w:ascii="Garamond" w:hAnsi="Garamond"/>
        </w:rPr>
        <w:footnoteReference w:id="8"/>
      </w:r>
      <w:r w:rsidR="00D24593">
        <w:rPr>
          <w:rFonts w:ascii="Garamond" w:hAnsi="Garamond"/>
        </w:rPr>
        <w:t xml:space="preserve">, cela n’exclut en rien la possibilité d’une </w:t>
      </w:r>
      <w:r w:rsidR="00D24593" w:rsidRPr="00D24593">
        <w:rPr>
          <w:rFonts w:ascii="Garamond" w:hAnsi="Garamond"/>
          <w:i/>
          <w:iCs/>
        </w:rPr>
        <w:t>critique</w:t>
      </w:r>
      <w:r w:rsidR="00D24593">
        <w:rPr>
          <w:rFonts w:ascii="Garamond" w:hAnsi="Garamond"/>
        </w:rPr>
        <w:t xml:space="preserve">, à la fois comme conscience de l’artiste pour lui-même et comme conscience de ses contemporains au regard de ses œuvres.  D’où cette condensation importante : </w:t>
      </w:r>
      <w:r>
        <w:rPr>
          <w:rFonts w:ascii="Garamond" w:hAnsi="Garamond"/>
        </w:rPr>
        <w:t xml:space="preserve">« tandis que la création artistique est réflexion de l’ensemble </w:t>
      </w:r>
      <w:r w:rsidRPr="002A6AE0">
        <w:rPr>
          <w:rFonts w:ascii="Garamond" w:hAnsi="Garamond"/>
          <w:i/>
          <w:iCs/>
        </w:rPr>
        <w:t>hexis-praxis</w:t>
      </w:r>
      <w:r>
        <w:rPr>
          <w:rFonts w:ascii="Garamond" w:hAnsi="Garamond"/>
        </w:rPr>
        <w:t>,</w:t>
      </w:r>
      <w:r w:rsidR="00D24593">
        <w:rPr>
          <w:rFonts w:ascii="Garamond" w:hAnsi="Garamond"/>
        </w:rPr>
        <w:t xml:space="preserve"> historicité-histoire, la prise de conscience esthétique est à la fois réflexion </w:t>
      </w:r>
      <w:r w:rsidR="00D24593" w:rsidRPr="00D24593">
        <w:rPr>
          <w:rFonts w:ascii="Garamond" w:hAnsi="Garamond"/>
          <w:i/>
          <w:iCs/>
        </w:rPr>
        <w:t>de</w:t>
      </w:r>
      <w:r w:rsidR="00D24593">
        <w:rPr>
          <w:rFonts w:ascii="Garamond" w:hAnsi="Garamond"/>
        </w:rPr>
        <w:t xml:space="preserve"> cet ensemble et réflexion </w:t>
      </w:r>
      <w:r w:rsidR="00D24593" w:rsidRPr="00D24593">
        <w:rPr>
          <w:rFonts w:ascii="Garamond" w:hAnsi="Garamond"/>
          <w:i/>
          <w:iCs/>
        </w:rPr>
        <w:t>sur</w:t>
      </w:r>
      <w:r w:rsidR="00D24593">
        <w:rPr>
          <w:rFonts w:ascii="Garamond" w:hAnsi="Garamond"/>
        </w:rPr>
        <w:t xml:space="preserve"> les œuvres et l’idée d’art. »</w:t>
      </w:r>
      <w:r w:rsidR="00D24593">
        <w:rPr>
          <w:rStyle w:val="Appelnotedebasdep"/>
          <w:rFonts w:ascii="Garamond" w:hAnsi="Garamond"/>
        </w:rPr>
        <w:footnoteReference w:id="9"/>
      </w:r>
      <w:r w:rsidR="00D24593">
        <w:rPr>
          <w:rFonts w:ascii="Garamond" w:hAnsi="Garamond"/>
        </w:rPr>
        <w:t xml:space="preserve"> Tout est dit : la réflexion procède de la création même, </w:t>
      </w:r>
      <w:r w:rsidR="006437AD">
        <w:rPr>
          <w:rFonts w:ascii="Garamond" w:hAnsi="Garamond"/>
        </w:rPr>
        <w:t xml:space="preserve">laquelle est l’articulation d’une disposition personnelle et d’une activité située, </w:t>
      </w:r>
      <w:r w:rsidR="00D24593">
        <w:rPr>
          <w:rFonts w:ascii="Garamond" w:hAnsi="Garamond"/>
        </w:rPr>
        <w:t>et la réflexion de cette réflexion</w:t>
      </w:r>
      <w:r w:rsidR="00A17407">
        <w:rPr>
          <w:rFonts w:ascii="Garamond" w:hAnsi="Garamond"/>
        </w:rPr>
        <w:t xml:space="preserve"> n’existe qu’au regard des œuvres mêmes. Ce qu’on nomme aujourd’hui </w:t>
      </w:r>
      <w:r w:rsidR="00A17407" w:rsidRPr="00A17407">
        <w:rPr>
          <w:rFonts w:ascii="Garamond" w:hAnsi="Garamond"/>
          <w:i/>
          <w:iCs/>
        </w:rPr>
        <w:t>création-recherche</w:t>
      </w:r>
      <w:r w:rsidR="00A17407">
        <w:rPr>
          <w:rFonts w:ascii="Garamond" w:hAnsi="Garamond"/>
        </w:rPr>
        <w:t xml:space="preserve"> n’est donc pas un dérivé de la recherche-action que des artistes mal inspirés s’échineraient à singer, mais le devenir même du faire artistique dans son devenir rationnel</w:t>
      </w:r>
      <w:r w:rsidR="00F3499D">
        <w:rPr>
          <w:rFonts w:ascii="Garamond" w:hAnsi="Garamond"/>
        </w:rPr>
        <w:t xml:space="preserve">, ce qui était d’ailleurs la revendication d’Alberti. </w:t>
      </w:r>
    </w:p>
    <w:p w14:paraId="7409AF66" w14:textId="77777777" w:rsidR="009568FA" w:rsidRDefault="004B470E" w:rsidP="00A27AD9">
      <w:pPr>
        <w:jc w:val="both"/>
        <w:rPr>
          <w:rFonts w:ascii="Garamond" w:hAnsi="Garamond"/>
        </w:rPr>
      </w:pPr>
      <w:r>
        <w:rPr>
          <w:rFonts w:ascii="Garamond" w:hAnsi="Garamond"/>
        </w:rPr>
        <w:t>Pour l’artiste, c</w:t>
      </w:r>
      <w:r w:rsidR="00A17407">
        <w:rPr>
          <w:rFonts w:ascii="Garamond" w:hAnsi="Garamond"/>
        </w:rPr>
        <w:t xml:space="preserve">ette raison n’est pas un absolu surplombant l’expérience et l’art mais </w:t>
      </w:r>
      <w:r>
        <w:rPr>
          <w:rFonts w:ascii="Garamond" w:hAnsi="Garamond"/>
        </w:rPr>
        <w:t xml:space="preserve">le pour-soi d’une conscience de soi, lucide sur les réseaux sociaux, techniques, culturels et esthétiques auxquels elle appartient, dont elle provient et qu’elle transforme en retour. </w:t>
      </w:r>
    </w:p>
    <w:p w14:paraId="329ABF09" w14:textId="77777777" w:rsidR="004F3F1A" w:rsidRDefault="004B470E" w:rsidP="00A27AD9">
      <w:pPr>
        <w:jc w:val="both"/>
        <w:rPr>
          <w:rFonts w:ascii="Garamond" w:hAnsi="Garamond"/>
        </w:rPr>
      </w:pPr>
      <w:r>
        <w:rPr>
          <w:rFonts w:ascii="Garamond" w:hAnsi="Garamond"/>
        </w:rPr>
        <w:t xml:space="preserve">Pour le philosophe, </w:t>
      </w:r>
      <w:r w:rsidR="00A17407">
        <w:rPr>
          <w:rFonts w:ascii="Garamond" w:hAnsi="Garamond"/>
        </w:rPr>
        <w:t>« </w:t>
      </w:r>
      <w:r>
        <w:rPr>
          <w:rFonts w:ascii="Garamond" w:hAnsi="Garamond"/>
        </w:rPr>
        <w:t>u</w:t>
      </w:r>
      <w:r w:rsidR="00A17407">
        <w:rPr>
          <w:rFonts w:ascii="Garamond" w:hAnsi="Garamond"/>
        </w:rPr>
        <w:t>ne phénoménologie historique des expressions d’art »</w:t>
      </w:r>
      <w:r w:rsidR="00A17407">
        <w:rPr>
          <w:rStyle w:val="Appelnotedebasdep"/>
          <w:rFonts w:ascii="Garamond" w:hAnsi="Garamond"/>
        </w:rPr>
        <w:footnoteReference w:id="10"/>
      </w:r>
      <w:r w:rsidR="00A17407">
        <w:rPr>
          <w:rFonts w:ascii="Garamond" w:hAnsi="Garamond"/>
        </w:rPr>
        <w:t xml:space="preserve"> est ainsi possible comme examen d’une production artistique dans un milieu culturel donné, sans esprit de système, la création réfléchie permettant l’extension du concept d’art, grossi de ses variances historiques et contemporaines, chaque œuvre « unique » étant maillée par son contexte historique et ses comparaisons formelles permettant de dégager, par-delà la contingence du cas particulier, des généralisations approchantes. </w:t>
      </w:r>
    </w:p>
    <w:p w14:paraId="759F9428" w14:textId="77777777" w:rsidR="004F3F1A" w:rsidRDefault="00791C74" w:rsidP="00A27AD9">
      <w:pPr>
        <w:jc w:val="both"/>
        <w:rPr>
          <w:rFonts w:ascii="Garamond" w:hAnsi="Garamond"/>
        </w:rPr>
      </w:pPr>
      <w:r>
        <w:rPr>
          <w:rFonts w:ascii="Garamond" w:hAnsi="Garamond"/>
        </w:rPr>
        <w:t xml:space="preserve">Dès lors l’esthétique ne peut être une réflexion sur l’art « en soi », qu’aucune démonstration ne pourrait produire, mais sur l’art comme histoire </w:t>
      </w:r>
      <w:r w:rsidR="00671617">
        <w:rPr>
          <w:rFonts w:ascii="Garamond" w:hAnsi="Garamond"/>
        </w:rPr>
        <w:t>et</w:t>
      </w:r>
      <w:r>
        <w:rPr>
          <w:rFonts w:ascii="Garamond" w:hAnsi="Garamond"/>
        </w:rPr>
        <w:t xml:space="preserve"> comme époque sociale</w:t>
      </w:r>
      <w:r w:rsidR="00F3499D">
        <w:rPr>
          <w:rFonts w:ascii="Garamond" w:hAnsi="Garamond"/>
        </w:rPr>
        <w:t xml:space="preserve"> ou</w:t>
      </w:r>
      <w:r>
        <w:rPr>
          <w:rFonts w:ascii="Garamond" w:hAnsi="Garamond"/>
        </w:rPr>
        <w:t xml:space="preserve"> technique, </w:t>
      </w:r>
      <w:r w:rsidR="00671617">
        <w:rPr>
          <w:rFonts w:ascii="Garamond" w:hAnsi="Garamond"/>
        </w:rPr>
        <w:t xml:space="preserve">et </w:t>
      </w:r>
      <w:r>
        <w:rPr>
          <w:rFonts w:ascii="Garamond" w:hAnsi="Garamond"/>
        </w:rPr>
        <w:t>comme devenir-réflexif. Ainsi cette esthétique historicisante, qui concilie le rationa</w:t>
      </w:r>
      <w:r w:rsidRPr="00B1386F">
        <w:rPr>
          <w:rFonts w:ascii="Garamond" w:hAnsi="Garamond"/>
        </w:rPr>
        <w:t xml:space="preserve">lisme d’une Idée en soi </w:t>
      </w:r>
      <w:r w:rsidRPr="00B1386F">
        <w:rPr>
          <w:rFonts w:ascii="Garamond" w:hAnsi="Garamond"/>
        </w:rPr>
        <w:lastRenderedPageBreak/>
        <w:t xml:space="preserve">impossible </w:t>
      </w:r>
      <w:r w:rsidR="00671617">
        <w:rPr>
          <w:rFonts w:ascii="Garamond" w:hAnsi="Garamond"/>
        </w:rPr>
        <w:t>quoique</w:t>
      </w:r>
      <w:r w:rsidRPr="00B1386F">
        <w:rPr>
          <w:rFonts w:ascii="Garamond" w:hAnsi="Garamond"/>
        </w:rPr>
        <w:t xml:space="preserve"> nécessaire</w:t>
      </w:r>
      <w:r w:rsidR="00671617">
        <w:rPr>
          <w:rFonts w:ascii="Garamond" w:hAnsi="Garamond"/>
        </w:rPr>
        <w:t>,</w:t>
      </w:r>
      <w:r w:rsidRPr="00B1386F">
        <w:rPr>
          <w:rFonts w:ascii="Garamond" w:hAnsi="Garamond"/>
        </w:rPr>
        <w:t xml:space="preserve"> comme invariance</w:t>
      </w:r>
      <w:r w:rsidR="00671617">
        <w:rPr>
          <w:rFonts w:ascii="Garamond" w:hAnsi="Garamond"/>
        </w:rPr>
        <w:t>,</w:t>
      </w:r>
      <w:r w:rsidRPr="00B1386F">
        <w:rPr>
          <w:rFonts w:ascii="Garamond" w:hAnsi="Garamond"/>
        </w:rPr>
        <w:t xml:space="preserve"> avec l’empirisme d’un évé</w:t>
      </w:r>
      <w:r>
        <w:rPr>
          <w:rFonts w:ascii="Garamond" w:hAnsi="Garamond"/>
        </w:rPr>
        <w:t xml:space="preserve">nement prétendu pur mais de fait réitéré et en cela généralisable, </w:t>
      </w:r>
      <w:r w:rsidR="00671617">
        <w:rPr>
          <w:rFonts w:ascii="Garamond" w:hAnsi="Garamond"/>
        </w:rPr>
        <w:t xml:space="preserve">cette esthétique </w:t>
      </w:r>
      <w:r>
        <w:rPr>
          <w:rFonts w:ascii="Garamond" w:hAnsi="Garamond"/>
        </w:rPr>
        <w:t xml:space="preserve">parvient « à subsumer le </w:t>
      </w:r>
      <w:r w:rsidRPr="00791C74">
        <w:rPr>
          <w:rFonts w:ascii="Garamond" w:hAnsi="Garamond"/>
          <w:i/>
          <w:iCs/>
        </w:rPr>
        <w:t>tychon</w:t>
      </w:r>
      <w:r>
        <w:rPr>
          <w:rFonts w:ascii="Garamond" w:hAnsi="Garamond"/>
        </w:rPr>
        <w:t xml:space="preserve"> </w:t>
      </w:r>
      <w:r w:rsidRPr="00791C74">
        <w:rPr>
          <w:rFonts w:ascii="Garamond" w:hAnsi="Garamond"/>
          <w:i/>
          <w:iCs/>
        </w:rPr>
        <w:t>ti</w:t>
      </w:r>
      <w:r>
        <w:rPr>
          <w:rFonts w:ascii="Garamond" w:hAnsi="Garamond"/>
        </w:rPr>
        <w:t xml:space="preserve"> sous la </w:t>
      </w:r>
      <w:r w:rsidRPr="00B1386F">
        <w:rPr>
          <w:rFonts w:ascii="Garamond" w:hAnsi="Garamond"/>
          <w:i/>
          <w:iCs/>
        </w:rPr>
        <w:t>praxis</w:t>
      </w:r>
      <w:r>
        <w:rPr>
          <w:rFonts w:ascii="Garamond" w:hAnsi="Garamond"/>
        </w:rPr>
        <w:t> »</w:t>
      </w:r>
      <w:r>
        <w:rPr>
          <w:rStyle w:val="Appelnotedebasdep"/>
          <w:rFonts w:ascii="Garamond" w:hAnsi="Garamond"/>
        </w:rPr>
        <w:footnoteReference w:id="11"/>
      </w:r>
      <w:r w:rsidR="00671617">
        <w:rPr>
          <w:rFonts w:ascii="Garamond" w:hAnsi="Garamond"/>
        </w:rPr>
        <w:t xml:space="preserve">, à inclure l’apparent bonheur d’expression d’une individualité dans l’ensemble des activités socialement pertinentes. </w:t>
      </w:r>
      <w:r w:rsidR="004F3F1A">
        <w:rPr>
          <w:rFonts w:ascii="Garamond" w:hAnsi="Garamond"/>
        </w:rPr>
        <w:t xml:space="preserve"> </w:t>
      </w:r>
    </w:p>
    <w:p w14:paraId="0603C536" w14:textId="77777777" w:rsidR="004B470E" w:rsidRDefault="004F3F1A" w:rsidP="00A27AD9">
      <w:pPr>
        <w:jc w:val="both"/>
        <w:rPr>
          <w:rFonts w:ascii="Garamond" w:hAnsi="Garamond"/>
        </w:rPr>
      </w:pPr>
      <w:r>
        <w:rPr>
          <w:rFonts w:ascii="Garamond" w:hAnsi="Garamond"/>
        </w:rPr>
        <w:t xml:space="preserve">Réinscrire tout événement créatif apparemment accidentel dans la généralisation possible d’une pratique rationalisable : voilà tout un programme intellectuel et </w:t>
      </w:r>
      <w:r w:rsidRPr="004B470E">
        <w:rPr>
          <w:rFonts w:ascii="Garamond" w:hAnsi="Garamond"/>
          <w:i/>
          <w:iCs/>
        </w:rPr>
        <w:t>pédagogique</w:t>
      </w:r>
      <w:r>
        <w:rPr>
          <w:rFonts w:ascii="Garamond" w:hAnsi="Garamond"/>
        </w:rPr>
        <w:t xml:space="preserve"> qui va motiver</w:t>
      </w:r>
      <w:r w:rsidR="008B7B5F">
        <w:rPr>
          <w:rFonts w:ascii="Garamond" w:hAnsi="Garamond"/>
        </w:rPr>
        <w:t xml:space="preserve"> </w:t>
      </w:r>
      <w:r>
        <w:rPr>
          <w:rFonts w:ascii="Garamond" w:hAnsi="Garamond"/>
        </w:rPr>
        <w:t xml:space="preserve">Teyssèdre pendant des décennies. Pour cela il aura besoin de son </w:t>
      </w:r>
      <w:r w:rsidRPr="004F3F1A">
        <w:rPr>
          <w:rFonts w:ascii="Garamond" w:hAnsi="Garamond"/>
          <w:i/>
          <w:iCs/>
        </w:rPr>
        <w:t>alter ego</w:t>
      </w:r>
      <w:r>
        <w:rPr>
          <w:rFonts w:ascii="Garamond" w:hAnsi="Garamond"/>
        </w:rPr>
        <w:t xml:space="preserve">, de René Passeron, artiste réflexif qui, </w:t>
      </w:r>
      <w:r w:rsidR="002608FF">
        <w:rPr>
          <w:rFonts w:ascii="Garamond" w:hAnsi="Garamond"/>
        </w:rPr>
        <w:t>grâce au</w:t>
      </w:r>
      <w:r>
        <w:rPr>
          <w:rFonts w:ascii="Garamond" w:hAnsi="Garamond"/>
        </w:rPr>
        <w:t xml:space="preserve"> concept de </w:t>
      </w:r>
      <w:r w:rsidRPr="004F3F1A">
        <w:rPr>
          <w:rFonts w:ascii="Garamond" w:hAnsi="Garamond"/>
          <w:i/>
          <w:iCs/>
        </w:rPr>
        <w:t>poïétique</w:t>
      </w:r>
      <w:r w:rsidR="002608FF">
        <w:rPr>
          <w:rFonts w:ascii="Garamond" w:hAnsi="Garamond"/>
          <w:i/>
          <w:iCs/>
        </w:rPr>
        <w:t>,</w:t>
      </w:r>
      <w:r>
        <w:rPr>
          <w:rFonts w:ascii="Garamond" w:hAnsi="Garamond"/>
        </w:rPr>
        <w:t xml:space="preserve"> va produire en miroir cette réflexivité immanente à l’œuvre, non plus </w:t>
      </w:r>
      <w:r w:rsidR="0001245F">
        <w:rPr>
          <w:rFonts w:ascii="Garamond" w:hAnsi="Garamond"/>
        </w:rPr>
        <w:t>par déduction</w:t>
      </w:r>
      <w:r>
        <w:rPr>
          <w:rFonts w:ascii="Garamond" w:hAnsi="Garamond"/>
        </w:rPr>
        <w:t xml:space="preserve"> de l’analyse philosophique des œuvres, mais </w:t>
      </w:r>
      <w:r w:rsidR="0001245F">
        <w:rPr>
          <w:rFonts w:ascii="Garamond" w:hAnsi="Garamond"/>
        </w:rPr>
        <w:t xml:space="preserve">par </w:t>
      </w:r>
      <w:r w:rsidR="00BF0A34">
        <w:rPr>
          <w:rFonts w:ascii="Garamond" w:hAnsi="Garamond"/>
        </w:rPr>
        <w:t>in</w:t>
      </w:r>
      <w:r w:rsidR="0001245F">
        <w:rPr>
          <w:rFonts w:ascii="Garamond" w:hAnsi="Garamond"/>
        </w:rPr>
        <w:t xml:space="preserve">duction </w:t>
      </w:r>
      <w:r>
        <w:rPr>
          <w:rFonts w:ascii="Garamond" w:hAnsi="Garamond"/>
        </w:rPr>
        <w:t xml:space="preserve">de la création même. </w:t>
      </w:r>
    </w:p>
    <w:p w14:paraId="59B153B3" w14:textId="77777777" w:rsidR="004B470E" w:rsidRDefault="004B470E" w:rsidP="00A27AD9">
      <w:pPr>
        <w:jc w:val="both"/>
        <w:rPr>
          <w:rFonts w:ascii="Garamond" w:hAnsi="Garamond"/>
        </w:rPr>
      </w:pPr>
    </w:p>
    <w:p w14:paraId="02E4E4E1" w14:textId="77777777" w:rsidR="004F3F1A" w:rsidRDefault="002608FF" w:rsidP="00A27AD9">
      <w:pPr>
        <w:jc w:val="both"/>
        <w:rPr>
          <w:rFonts w:ascii="Garamond" w:hAnsi="Garamond"/>
        </w:rPr>
      </w:pPr>
      <w:r>
        <w:rPr>
          <w:rFonts w:ascii="Garamond" w:hAnsi="Garamond"/>
        </w:rPr>
        <w:t xml:space="preserve">Que signifie alors création-recherche ? </w:t>
      </w:r>
      <w:r w:rsidR="00BD25DA">
        <w:rPr>
          <w:rFonts w:ascii="Garamond" w:hAnsi="Garamond"/>
        </w:rPr>
        <w:t>D’abord, c</w:t>
      </w:r>
      <w:r>
        <w:rPr>
          <w:rFonts w:ascii="Garamond" w:hAnsi="Garamond"/>
        </w:rPr>
        <w:t>ela peut désigner la recherche que chaque artiste fait dans son atelier pour avancer dans sa maîtrise de son art et de son prop</w:t>
      </w:r>
      <w:r w:rsidR="00BD25DA">
        <w:rPr>
          <w:rFonts w:ascii="Garamond" w:hAnsi="Garamond"/>
        </w:rPr>
        <w:t>os</w:t>
      </w:r>
      <w:r>
        <w:rPr>
          <w:rFonts w:ascii="Garamond" w:hAnsi="Garamond"/>
        </w:rPr>
        <w:t xml:space="preserve">. </w:t>
      </w:r>
      <w:r w:rsidR="00BD25DA">
        <w:rPr>
          <w:rFonts w:ascii="Garamond" w:hAnsi="Garamond"/>
        </w:rPr>
        <w:t xml:space="preserve">Picasso à Mougins recherche de nouvelles formes, de nouveaux matériaux, de nouvelles thématiques. Pas besoin d’école pour cela. Ensuite, cela peut désigner la recherche en création, comme on parle de « recherche et développement » en </w:t>
      </w:r>
      <w:r w:rsidR="00BD25DA" w:rsidRPr="00F3499D">
        <w:rPr>
          <w:rFonts w:ascii="Garamond" w:hAnsi="Garamond"/>
          <w:i/>
          <w:iCs/>
        </w:rPr>
        <w:t>design</w:t>
      </w:r>
      <w:r w:rsidR="00BD25DA">
        <w:rPr>
          <w:rFonts w:ascii="Garamond" w:hAnsi="Garamond"/>
        </w:rPr>
        <w:t xml:space="preserve"> et en industrie, pour inciter les artistes à exprimer leurs inventions pour renouveler l’histoire des formes et des représentations. C’est le programme des écoles d’art et des académies de peinture ou de sculpture : transmettre des techniques et promouvoir des innovations. </w:t>
      </w:r>
      <w:r w:rsidR="00F3499D">
        <w:rPr>
          <w:rFonts w:ascii="Garamond" w:hAnsi="Garamond"/>
        </w:rPr>
        <w:t>Q</w:t>
      </w:r>
      <w:r w:rsidR="004B470E">
        <w:rPr>
          <w:rFonts w:ascii="Garamond" w:hAnsi="Garamond"/>
        </w:rPr>
        <w:t xml:space="preserve">ue signifie alors « académie » ? </w:t>
      </w:r>
      <w:r w:rsidR="00BD25DA">
        <w:rPr>
          <w:rFonts w:ascii="Garamond" w:hAnsi="Garamond"/>
        </w:rPr>
        <w:t>Un lieu où l’on cultive les arts et les lettres, dit-on a</w:t>
      </w:r>
      <w:r w:rsidR="00BE5826">
        <w:rPr>
          <w:rFonts w:ascii="Garamond" w:hAnsi="Garamond"/>
        </w:rPr>
        <w:t xml:space="preserve">ujourd’hui pensant aux différentes sections de l’Institut de France. Mais la vision de Teyssèdre fut de vouloir faire entrer les arts à l’académie au sens platonicien du mot : un lieu de théorie sur les principes et les conséquences des pensées, des conduites et des œuvres. </w:t>
      </w:r>
      <w:r>
        <w:rPr>
          <w:rFonts w:ascii="Garamond" w:hAnsi="Garamond"/>
        </w:rPr>
        <w:t xml:space="preserve">La recherche en création </w:t>
      </w:r>
      <w:r w:rsidR="00BE5826">
        <w:rPr>
          <w:rFonts w:ascii="Garamond" w:hAnsi="Garamond"/>
        </w:rPr>
        <w:t xml:space="preserve">devait donc devenir la </w:t>
      </w:r>
      <w:r w:rsidR="004B470E">
        <w:rPr>
          <w:rFonts w:ascii="Garamond" w:hAnsi="Garamond"/>
        </w:rPr>
        <w:t xml:space="preserve">création à </w:t>
      </w:r>
      <w:r w:rsidR="004B470E" w:rsidRPr="00BE5826">
        <w:rPr>
          <w:rFonts w:ascii="Garamond" w:hAnsi="Garamond"/>
          <w:i/>
          <w:iCs/>
        </w:rPr>
        <w:t>l’université</w:t>
      </w:r>
      <w:r w:rsidR="00BE5826">
        <w:rPr>
          <w:rFonts w:ascii="Garamond" w:hAnsi="Garamond"/>
        </w:rPr>
        <w:t> ! V</w:t>
      </w:r>
      <w:r w:rsidR="004B470E">
        <w:rPr>
          <w:rFonts w:ascii="Garamond" w:hAnsi="Garamond"/>
        </w:rPr>
        <w:t xml:space="preserve">oilà qui pouvait sembler un non-sens pour les artistes des écoles d’art qui pensent technique, histoire, mais non philosophie, et une absurdité pour les philosophes pour lesquels l’art n’était pas un objet digne de leur méditation. </w:t>
      </w:r>
      <w:r w:rsidR="00BE5826">
        <w:rPr>
          <w:rFonts w:ascii="Garamond" w:hAnsi="Garamond"/>
        </w:rPr>
        <w:t>D’où, enfin, un troisième sens de la création-recherche :</w:t>
      </w:r>
      <w:r w:rsidR="004F3F1A">
        <w:rPr>
          <w:rFonts w:ascii="Garamond" w:hAnsi="Garamond"/>
        </w:rPr>
        <w:t xml:space="preserve"> </w:t>
      </w:r>
      <w:r w:rsidR="00BE5826">
        <w:rPr>
          <w:rFonts w:ascii="Garamond" w:hAnsi="Garamond"/>
        </w:rPr>
        <w:t xml:space="preserve">désigner </w:t>
      </w:r>
      <w:r w:rsidR="004F3F1A">
        <w:rPr>
          <w:rFonts w:ascii="Garamond" w:hAnsi="Garamond"/>
        </w:rPr>
        <w:t>une méthode</w:t>
      </w:r>
      <w:r w:rsidR="00BE5826">
        <w:rPr>
          <w:rFonts w:ascii="Garamond" w:hAnsi="Garamond"/>
        </w:rPr>
        <w:t xml:space="preserve"> réflexive provenant des créateurs comme </w:t>
      </w:r>
      <w:r w:rsidR="004F3F1A">
        <w:rPr>
          <w:rFonts w:ascii="Garamond" w:hAnsi="Garamond"/>
        </w:rPr>
        <w:t>un projet</w:t>
      </w:r>
      <w:r w:rsidR="00BE5826">
        <w:rPr>
          <w:rFonts w:ascii="Garamond" w:hAnsi="Garamond"/>
        </w:rPr>
        <w:t xml:space="preserve"> de réflexion pour le philosophe </w:t>
      </w:r>
      <w:r w:rsidR="00BE5826" w:rsidRPr="00F3499D">
        <w:rPr>
          <w:rFonts w:ascii="Garamond" w:hAnsi="Garamond"/>
          <w:i/>
          <w:iCs/>
        </w:rPr>
        <w:t>à l’atelier</w:t>
      </w:r>
      <w:r w:rsidR="00BE5826">
        <w:rPr>
          <w:rFonts w:ascii="Garamond" w:hAnsi="Garamond"/>
        </w:rPr>
        <w:t xml:space="preserve">. Cette création-recherche </w:t>
      </w:r>
      <w:r w:rsidR="004F3F1A">
        <w:rPr>
          <w:rFonts w:ascii="Garamond" w:hAnsi="Garamond"/>
        </w:rPr>
        <w:t>n’est pas le dernier mot de l’art</w:t>
      </w:r>
      <w:r w:rsidR="00BE5826">
        <w:rPr>
          <w:rFonts w:ascii="Garamond" w:hAnsi="Garamond"/>
        </w:rPr>
        <w:t xml:space="preserve">, mais une science de l’art </w:t>
      </w:r>
      <w:r w:rsidR="002974CC">
        <w:rPr>
          <w:rFonts w:ascii="Garamond" w:hAnsi="Garamond"/>
        </w:rPr>
        <w:t>qui, comme toute science, pose des problèmes de méthode et d’épistémologie</w:t>
      </w:r>
      <w:r w:rsidR="002974CC">
        <w:rPr>
          <w:rStyle w:val="Appelnotedebasdep"/>
          <w:rFonts w:ascii="Garamond" w:hAnsi="Garamond"/>
        </w:rPr>
        <w:footnoteReference w:id="12"/>
      </w:r>
      <w:r w:rsidR="002974CC">
        <w:rPr>
          <w:rFonts w:ascii="Garamond" w:hAnsi="Garamond"/>
        </w:rPr>
        <w:t xml:space="preserve"> à l’artiste à l’œuvre, et symétriquement demande au philosophe une révolution copernicienne pour sortir de son centrisme et faire l’expérience du concept dans </w:t>
      </w:r>
      <w:r w:rsidR="00671617">
        <w:rPr>
          <w:rFonts w:ascii="Garamond" w:hAnsi="Garamond"/>
        </w:rPr>
        <w:t xml:space="preserve">et depuis </w:t>
      </w:r>
      <w:r w:rsidR="002974CC">
        <w:rPr>
          <w:rFonts w:ascii="Garamond" w:hAnsi="Garamond"/>
        </w:rPr>
        <w:t>l’</w:t>
      </w:r>
      <w:r w:rsidR="00F3499D">
        <w:rPr>
          <w:rFonts w:ascii="Garamond" w:hAnsi="Garamond"/>
        </w:rPr>
        <w:t>œuvre.</w:t>
      </w:r>
      <w:r w:rsidR="002974CC">
        <w:rPr>
          <w:rFonts w:ascii="Garamond" w:hAnsi="Garamond"/>
        </w:rPr>
        <w:t xml:space="preserve"> </w:t>
      </w:r>
    </w:p>
    <w:p w14:paraId="222D3FF7" w14:textId="77777777" w:rsidR="00A30546" w:rsidRDefault="00A30546" w:rsidP="00A27AD9">
      <w:pPr>
        <w:jc w:val="both"/>
        <w:rPr>
          <w:rFonts w:ascii="Garamond" w:hAnsi="Garamond"/>
        </w:rPr>
      </w:pPr>
    </w:p>
    <w:p w14:paraId="3CFBB15D" w14:textId="77777777" w:rsidR="00F86187" w:rsidRDefault="00A30546" w:rsidP="00A27AD9">
      <w:pPr>
        <w:jc w:val="both"/>
        <w:rPr>
          <w:rFonts w:ascii="Garamond" w:hAnsi="Garamond"/>
        </w:rPr>
      </w:pPr>
      <w:r>
        <w:rPr>
          <w:rFonts w:ascii="Garamond" w:hAnsi="Garamond"/>
        </w:rPr>
        <w:t xml:space="preserve">De cet article fort dense nous sommes amenés à dégager des conséquences tirées </w:t>
      </w:r>
      <w:r w:rsidR="008B7B5F">
        <w:rPr>
          <w:rFonts w:ascii="Garamond" w:hAnsi="Garamond"/>
        </w:rPr>
        <w:t xml:space="preserve">à la fois </w:t>
      </w:r>
      <w:r>
        <w:rPr>
          <w:rFonts w:ascii="Garamond" w:hAnsi="Garamond"/>
        </w:rPr>
        <w:t>du système hégélien</w:t>
      </w:r>
      <w:r w:rsidR="008B7B5F">
        <w:rPr>
          <w:rFonts w:ascii="Garamond" w:hAnsi="Garamond"/>
        </w:rPr>
        <w:t xml:space="preserve"> et</w:t>
      </w:r>
      <w:r>
        <w:rPr>
          <w:rFonts w:ascii="Garamond" w:hAnsi="Garamond"/>
        </w:rPr>
        <w:t xml:space="preserve"> de la réflexion et de l’action de Teyssèdre</w:t>
      </w:r>
      <w:r w:rsidR="008B7B5F">
        <w:rPr>
          <w:rFonts w:ascii="Garamond" w:hAnsi="Garamond"/>
        </w:rPr>
        <w:t xml:space="preserve"> lui-même</w:t>
      </w:r>
      <w:r>
        <w:rPr>
          <w:rFonts w:ascii="Garamond" w:hAnsi="Garamond"/>
        </w:rPr>
        <w:t xml:space="preserve">, de l’histoire de l’art revue à l’aune de ces deux penseurs. </w:t>
      </w:r>
      <w:r w:rsidR="00671617">
        <w:rPr>
          <w:rFonts w:ascii="Garamond" w:hAnsi="Garamond"/>
        </w:rPr>
        <w:t>Les prolégomènes à toute création-recherche sont les suivants.</w:t>
      </w:r>
    </w:p>
    <w:p w14:paraId="1ED003F8" w14:textId="77777777" w:rsidR="00F86187" w:rsidRDefault="00F86187" w:rsidP="00F86187">
      <w:pPr>
        <w:pStyle w:val="Paragraphedeliste"/>
        <w:numPr>
          <w:ilvl w:val="0"/>
          <w:numId w:val="1"/>
        </w:numPr>
        <w:jc w:val="both"/>
        <w:rPr>
          <w:rFonts w:ascii="Garamond" w:hAnsi="Garamond"/>
        </w:rPr>
      </w:pPr>
      <w:r>
        <w:rPr>
          <w:rFonts w:ascii="Garamond" w:hAnsi="Garamond"/>
        </w:rPr>
        <w:t xml:space="preserve">Une esthétique qui voudrait être adéquate à son objet se devrait d’être en même temps une théorie rationaliste de la culture (et non une simple sociologie du fait culturel) </w:t>
      </w:r>
      <w:r w:rsidR="00A30546">
        <w:rPr>
          <w:rFonts w:ascii="Garamond" w:hAnsi="Garamond"/>
        </w:rPr>
        <w:t>solidaire d’</w:t>
      </w:r>
      <w:r>
        <w:rPr>
          <w:rFonts w:ascii="Garamond" w:hAnsi="Garamond"/>
        </w:rPr>
        <w:t>une histoire des créations artistiques</w:t>
      </w:r>
      <w:r w:rsidR="008544A5">
        <w:rPr>
          <w:rFonts w:ascii="Garamond" w:hAnsi="Garamond"/>
        </w:rPr>
        <w:t>, une archéologie du sensible et de l’imaginaire.</w:t>
      </w:r>
    </w:p>
    <w:p w14:paraId="2D350A00" w14:textId="77777777" w:rsidR="00F86187" w:rsidRDefault="00F86187" w:rsidP="00F86187">
      <w:pPr>
        <w:pStyle w:val="Paragraphedeliste"/>
        <w:numPr>
          <w:ilvl w:val="0"/>
          <w:numId w:val="1"/>
        </w:numPr>
        <w:jc w:val="both"/>
        <w:rPr>
          <w:rFonts w:ascii="Garamond" w:hAnsi="Garamond"/>
        </w:rPr>
      </w:pPr>
      <w:r>
        <w:rPr>
          <w:rFonts w:ascii="Garamond" w:hAnsi="Garamond"/>
        </w:rPr>
        <w:t>L’esthétique doit renoncer à une prétention d’universel en rendant justice à la singularité et à l’unicité d’une création, mais ne doit pas renoncer à une méthode de généralisation en dégageant des invariants dans les phénomènes culturels</w:t>
      </w:r>
      <w:r w:rsidR="00F3499D">
        <w:rPr>
          <w:rFonts w:ascii="Garamond" w:hAnsi="Garamond"/>
        </w:rPr>
        <w:t>.</w:t>
      </w:r>
    </w:p>
    <w:p w14:paraId="66CD71B9" w14:textId="77777777" w:rsidR="00F86187" w:rsidRDefault="00F86187" w:rsidP="00F86187">
      <w:pPr>
        <w:pStyle w:val="Paragraphedeliste"/>
        <w:numPr>
          <w:ilvl w:val="0"/>
          <w:numId w:val="1"/>
        </w:numPr>
        <w:jc w:val="both"/>
        <w:rPr>
          <w:rFonts w:ascii="Garamond" w:hAnsi="Garamond"/>
        </w:rPr>
      </w:pPr>
      <w:r>
        <w:rPr>
          <w:rFonts w:ascii="Garamond" w:hAnsi="Garamond"/>
        </w:rPr>
        <w:t>« L</w:t>
      </w:r>
      <w:r w:rsidR="002F0168">
        <w:rPr>
          <w:rFonts w:ascii="Garamond" w:hAnsi="Garamond"/>
        </w:rPr>
        <w:t xml:space="preserve">a </w:t>
      </w:r>
      <w:r>
        <w:rPr>
          <w:rFonts w:ascii="Garamond" w:hAnsi="Garamond"/>
        </w:rPr>
        <w:t>dissolution </w:t>
      </w:r>
      <w:r w:rsidR="002F0168">
        <w:rPr>
          <w:rFonts w:ascii="Garamond" w:hAnsi="Garamond"/>
        </w:rPr>
        <w:t xml:space="preserve">de l’art </w:t>
      </w:r>
      <w:r>
        <w:rPr>
          <w:rFonts w:ascii="Garamond" w:hAnsi="Garamond"/>
        </w:rPr>
        <w:t>» (</w:t>
      </w:r>
      <w:r w:rsidRPr="00A30546">
        <w:rPr>
          <w:rFonts w:ascii="Garamond" w:hAnsi="Garamond"/>
          <w:i/>
          <w:iCs/>
        </w:rPr>
        <w:t>A</w:t>
      </w:r>
      <w:r w:rsidR="003848A8">
        <w:rPr>
          <w:rFonts w:ascii="Garamond" w:hAnsi="Garamond"/>
          <w:i/>
          <w:iCs/>
        </w:rPr>
        <w:t>uf</w:t>
      </w:r>
      <w:r w:rsidRPr="00A30546">
        <w:rPr>
          <w:rFonts w:ascii="Garamond" w:hAnsi="Garamond"/>
          <w:i/>
          <w:iCs/>
        </w:rPr>
        <w:t>l</w:t>
      </w:r>
      <w:r w:rsidR="00A30546" w:rsidRPr="00A30546">
        <w:rPr>
          <w:rFonts w:ascii="Garamond" w:hAnsi="Garamond"/>
          <w:i/>
          <w:iCs/>
        </w:rPr>
        <w:t>ösung</w:t>
      </w:r>
      <w:r w:rsidR="002F0168">
        <w:rPr>
          <w:rFonts w:ascii="Garamond" w:hAnsi="Garamond"/>
          <w:i/>
          <w:iCs/>
        </w:rPr>
        <w:t xml:space="preserve"> der Kunst</w:t>
      </w:r>
      <w:r w:rsidR="00A30546">
        <w:rPr>
          <w:rFonts w:ascii="Garamond" w:hAnsi="Garamond"/>
        </w:rPr>
        <w:t xml:space="preserve">) n’est pas sa mort (comme le disent trop souvent les mauvais manuels de philosophie) mais </w:t>
      </w:r>
      <w:r w:rsidR="002F0168">
        <w:rPr>
          <w:rFonts w:ascii="Garamond" w:hAnsi="Garamond"/>
        </w:rPr>
        <w:t>son « autodestruction » (</w:t>
      </w:r>
      <w:r w:rsidR="002F0168" w:rsidRPr="002F0168">
        <w:rPr>
          <w:rFonts w:ascii="Garamond" w:hAnsi="Garamond"/>
          <w:i/>
          <w:iCs/>
        </w:rPr>
        <w:t>Selbstzerstörung</w:t>
      </w:r>
      <w:r w:rsidR="002F0168">
        <w:rPr>
          <w:rFonts w:ascii="Garamond" w:hAnsi="Garamond"/>
        </w:rPr>
        <w:t>) comme simple immédiateté dans une subjectivité consciente d’elle-même (</w:t>
      </w:r>
      <w:r w:rsidR="002F0168" w:rsidRPr="002F0168">
        <w:rPr>
          <w:rFonts w:ascii="Garamond" w:hAnsi="Garamond"/>
          <w:i/>
          <w:iCs/>
        </w:rPr>
        <w:t>selbst gewiss</w:t>
      </w:r>
      <w:r w:rsidR="002F0168">
        <w:rPr>
          <w:rFonts w:ascii="Garamond" w:hAnsi="Garamond"/>
        </w:rPr>
        <w:t>).</w:t>
      </w:r>
      <w:r w:rsidR="002F0168">
        <w:rPr>
          <w:rStyle w:val="Appelnotedebasdep"/>
          <w:rFonts w:ascii="Garamond" w:hAnsi="Garamond"/>
        </w:rPr>
        <w:footnoteReference w:id="13"/>
      </w:r>
      <w:r w:rsidR="002F0168">
        <w:rPr>
          <w:rFonts w:ascii="Garamond" w:hAnsi="Garamond"/>
        </w:rPr>
        <w:t xml:space="preserve"> L</w:t>
      </w:r>
      <w:r w:rsidR="005F7E63">
        <w:rPr>
          <w:rFonts w:ascii="Garamond" w:hAnsi="Garamond"/>
        </w:rPr>
        <w:t>’achèvement</w:t>
      </w:r>
      <w:r w:rsidR="00A30546">
        <w:rPr>
          <w:rFonts w:ascii="Garamond" w:hAnsi="Garamond"/>
        </w:rPr>
        <w:t xml:space="preserve"> de son parcours réflexif atteste justement d’une rationalité immanente à tout</w:t>
      </w:r>
      <w:r w:rsidR="0033592E">
        <w:rPr>
          <w:rFonts w:ascii="Garamond" w:hAnsi="Garamond"/>
        </w:rPr>
        <w:t>e</w:t>
      </w:r>
      <w:r w:rsidR="00A30546">
        <w:rPr>
          <w:rFonts w:ascii="Garamond" w:hAnsi="Garamond"/>
        </w:rPr>
        <w:t xml:space="preserve"> mise-en-œuvre. La fin de ce parcours peut se retrouver chez Hö</w:t>
      </w:r>
      <w:r w:rsidR="005F7E63">
        <w:rPr>
          <w:rFonts w:ascii="Garamond" w:hAnsi="Garamond"/>
        </w:rPr>
        <w:t>ld</w:t>
      </w:r>
      <w:r w:rsidR="00A30546">
        <w:rPr>
          <w:rFonts w:ascii="Garamond" w:hAnsi="Garamond"/>
        </w:rPr>
        <w:t>erlin, comme chez Molière</w:t>
      </w:r>
      <w:r w:rsidR="00F3499D">
        <w:rPr>
          <w:rFonts w:ascii="Garamond" w:hAnsi="Garamond"/>
        </w:rPr>
        <w:t xml:space="preserve"> ou</w:t>
      </w:r>
      <w:r w:rsidR="00A30546">
        <w:rPr>
          <w:rFonts w:ascii="Garamond" w:hAnsi="Garamond"/>
        </w:rPr>
        <w:t xml:space="preserve"> Aristophane, et n’est donc pas une fin des temps. </w:t>
      </w:r>
      <w:r w:rsidR="008544A5">
        <w:rPr>
          <w:rFonts w:ascii="Garamond" w:hAnsi="Garamond"/>
        </w:rPr>
        <w:t>Aussi c</w:t>
      </w:r>
      <w:r w:rsidR="00A30546">
        <w:rPr>
          <w:rFonts w:ascii="Garamond" w:hAnsi="Garamond"/>
        </w:rPr>
        <w:t xml:space="preserve">ette auto-dissolution </w:t>
      </w:r>
      <w:r w:rsidR="003E58CA">
        <w:rPr>
          <w:rFonts w:ascii="Garamond" w:hAnsi="Garamond"/>
        </w:rPr>
        <w:t xml:space="preserve">ou auto-résolution </w:t>
      </w:r>
      <w:r w:rsidR="008544A5">
        <w:rPr>
          <w:rFonts w:ascii="Garamond" w:hAnsi="Garamond"/>
        </w:rPr>
        <w:t>peut-elle</w:t>
      </w:r>
      <w:r w:rsidR="00A30546">
        <w:rPr>
          <w:rFonts w:ascii="Garamond" w:hAnsi="Garamond"/>
        </w:rPr>
        <w:t xml:space="preserve"> prov</w:t>
      </w:r>
      <w:r w:rsidR="008544A5">
        <w:rPr>
          <w:rFonts w:ascii="Garamond" w:hAnsi="Garamond"/>
        </w:rPr>
        <w:t>enir</w:t>
      </w:r>
      <w:r w:rsidR="00A30546">
        <w:rPr>
          <w:rFonts w:ascii="Garamond" w:hAnsi="Garamond"/>
        </w:rPr>
        <w:t xml:space="preserve"> </w:t>
      </w:r>
      <w:r w:rsidR="0033592E">
        <w:rPr>
          <w:rFonts w:ascii="Garamond" w:hAnsi="Garamond"/>
        </w:rPr>
        <w:t xml:space="preserve">aussi </w:t>
      </w:r>
      <w:r w:rsidR="00A30546">
        <w:rPr>
          <w:rFonts w:ascii="Garamond" w:hAnsi="Garamond"/>
        </w:rPr>
        <w:t xml:space="preserve">de Buster Keaton, </w:t>
      </w:r>
      <w:r w:rsidR="0033592E">
        <w:rPr>
          <w:rFonts w:ascii="Garamond" w:hAnsi="Garamond"/>
        </w:rPr>
        <w:t>de Klee ou de Xénakis</w:t>
      </w:r>
      <w:r w:rsidR="00A30546">
        <w:rPr>
          <w:rFonts w:ascii="Garamond" w:hAnsi="Garamond"/>
        </w:rPr>
        <w:t xml:space="preserve">.  </w:t>
      </w:r>
    </w:p>
    <w:p w14:paraId="7290AA3C" w14:textId="77777777" w:rsidR="005F7E63" w:rsidRDefault="005F7E63" w:rsidP="00F86187">
      <w:pPr>
        <w:pStyle w:val="Paragraphedeliste"/>
        <w:numPr>
          <w:ilvl w:val="0"/>
          <w:numId w:val="1"/>
        </w:numPr>
        <w:jc w:val="both"/>
        <w:rPr>
          <w:rFonts w:ascii="Garamond" w:hAnsi="Garamond"/>
        </w:rPr>
      </w:pPr>
      <w:r>
        <w:rPr>
          <w:rFonts w:ascii="Garamond" w:hAnsi="Garamond"/>
        </w:rPr>
        <w:lastRenderedPageBreak/>
        <w:t xml:space="preserve">Si l’art est réflexif par immanence, alors c’est un contresens de le maintenir dans de simples « écoles d’art », héritières des anciennes séparations religieuses, nobiliaires et royales entre les arts libéraux, nobles d’esprit, transmis à l’université (théologie, droit, médecine), et les arts mécaniques exerçant l’habileté des métiers. </w:t>
      </w:r>
      <w:r w:rsidR="003D2F71">
        <w:rPr>
          <w:rFonts w:ascii="Garamond" w:hAnsi="Garamond"/>
        </w:rPr>
        <w:t xml:space="preserve">L’art ne se réduit pas à la production d’un imaginaire, car il est un mode d’appréhension pratique et cognitive du monde sensible. </w:t>
      </w:r>
      <w:r>
        <w:rPr>
          <w:rFonts w:ascii="Garamond" w:hAnsi="Garamond"/>
        </w:rPr>
        <w:t>Par conséquent les arts ont toute leur place de droit, en théorie et en pratique, à l’université. Par conséquent une faculté d’arts doit être créée qui représentera la diversité des arts, la philosophie de l’art, la théorie de la culture, l’histoire de l’art.</w:t>
      </w:r>
    </w:p>
    <w:p w14:paraId="32DFAC72" w14:textId="77777777" w:rsidR="003D2F71" w:rsidRDefault="00B434BA" w:rsidP="00F86187">
      <w:pPr>
        <w:pStyle w:val="Paragraphedeliste"/>
        <w:numPr>
          <w:ilvl w:val="0"/>
          <w:numId w:val="1"/>
        </w:numPr>
        <w:jc w:val="both"/>
        <w:rPr>
          <w:rFonts w:ascii="Garamond" w:hAnsi="Garamond"/>
        </w:rPr>
      </w:pPr>
      <w:r>
        <w:rPr>
          <w:rFonts w:ascii="Garamond" w:hAnsi="Garamond"/>
        </w:rPr>
        <w:t xml:space="preserve">Si l’art est réflexif par immanence, alors </w:t>
      </w:r>
      <w:r w:rsidR="008544A5">
        <w:rPr>
          <w:rFonts w:ascii="Garamond" w:hAnsi="Garamond"/>
        </w:rPr>
        <w:t>un artiste est légitime à passer un doctorat, diplôme universitaire, et non « scolaire » articulant pratique et épistémologie de la création.</w:t>
      </w:r>
    </w:p>
    <w:p w14:paraId="49E7536D" w14:textId="77777777" w:rsidR="00BF0A34" w:rsidRDefault="00BF0A34" w:rsidP="00F86187">
      <w:pPr>
        <w:pStyle w:val="Paragraphedeliste"/>
        <w:numPr>
          <w:ilvl w:val="0"/>
          <w:numId w:val="1"/>
        </w:numPr>
        <w:jc w:val="both"/>
        <w:rPr>
          <w:rFonts w:ascii="Garamond" w:hAnsi="Garamond"/>
        </w:rPr>
      </w:pPr>
      <w:r>
        <w:rPr>
          <w:rFonts w:ascii="Garamond" w:hAnsi="Garamond"/>
        </w:rPr>
        <w:t xml:space="preserve">Si l’art est réflexif par immanence, alors le philosophe doit fréquenter </w:t>
      </w:r>
      <w:r w:rsidR="00360DC5">
        <w:rPr>
          <w:rFonts w:ascii="Garamond" w:hAnsi="Garamond"/>
        </w:rPr>
        <w:t xml:space="preserve">les œuvres d’art, comme le fit Hegel appréciant des cathédrales, des galeries de peintures, des pièces de théâtre et leurs comédiens, des concerts, des collections privées ; il doit également fréquenter </w:t>
      </w:r>
      <w:r>
        <w:rPr>
          <w:rFonts w:ascii="Garamond" w:hAnsi="Garamond"/>
        </w:rPr>
        <w:t>les ateliers et les archives d’artistes pour interroger le processus réflexif de la poïèse</w:t>
      </w:r>
      <w:r w:rsidR="00360DC5">
        <w:rPr>
          <w:rFonts w:ascii="Garamond" w:hAnsi="Garamond"/>
        </w:rPr>
        <w:t xml:space="preserve">, comme le fit Teyssèdre. </w:t>
      </w:r>
    </w:p>
    <w:p w14:paraId="4A785769" w14:textId="77777777" w:rsidR="003D2F71" w:rsidRDefault="003D2F71" w:rsidP="00F86187">
      <w:pPr>
        <w:pStyle w:val="Paragraphedeliste"/>
        <w:numPr>
          <w:ilvl w:val="0"/>
          <w:numId w:val="1"/>
        </w:numPr>
        <w:jc w:val="both"/>
        <w:rPr>
          <w:rFonts w:ascii="Garamond" w:hAnsi="Garamond"/>
        </w:rPr>
      </w:pPr>
      <w:r>
        <w:rPr>
          <w:rFonts w:ascii="Garamond" w:hAnsi="Garamond"/>
        </w:rPr>
        <w:t xml:space="preserve">Si le philosophe veut dialoguer de l’intérieur avec les artistes, alors il doit </w:t>
      </w:r>
      <w:r w:rsidR="008B7B5F">
        <w:rPr>
          <w:rFonts w:ascii="Garamond" w:hAnsi="Garamond"/>
        </w:rPr>
        <w:t>symétriquement</w:t>
      </w:r>
      <w:r>
        <w:rPr>
          <w:rFonts w:ascii="Garamond" w:hAnsi="Garamond"/>
        </w:rPr>
        <w:t xml:space="preserve"> exercer une pratique artistique, fût-ce comme amateur : poésie, peinture, photographie, danse, etc. </w:t>
      </w:r>
      <w:r w:rsidR="00214413">
        <w:rPr>
          <w:rFonts w:ascii="Garamond" w:hAnsi="Garamond"/>
        </w:rPr>
        <w:t>En miroir, l’artiste peut se piquer de philosophie, comme Poussin, Rameau, Hölderlin ou Joseph Kosuth.</w:t>
      </w:r>
    </w:p>
    <w:p w14:paraId="05BE36AF" w14:textId="77777777" w:rsidR="00B434BA" w:rsidRPr="00911C91" w:rsidRDefault="008544A5" w:rsidP="00911C91">
      <w:pPr>
        <w:ind w:left="360"/>
        <w:jc w:val="both"/>
        <w:rPr>
          <w:rFonts w:ascii="Garamond" w:hAnsi="Garamond"/>
        </w:rPr>
      </w:pPr>
      <w:r w:rsidRPr="00911C91">
        <w:rPr>
          <w:rFonts w:ascii="Garamond" w:hAnsi="Garamond"/>
        </w:rPr>
        <w:t xml:space="preserve">  </w:t>
      </w:r>
    </w:p>
    <w:p w14:paraId="6D447B63" w14:textId="77777777" w:rsidR="00B434BA" w:rsidRPr="008544A5" w:rsidRDefault="00B434BA" w:rsidP="00B434BA">
      <w:pPr>
        <w:jc w:val="both"/>
        <w:rPr>
          <w:rFonts w:ascii="Garamond" w:hAnsi="Garamond"/>
        </w:rPr>
      </w:pPr>
      <w:r w:rsidRPr="008544A5">
        <w:rPr>
          <w:rFonts w:ascii="Garamond" w:hAnsi="Garamond"/>
        </w:rPr>
        <w:t xml:space="preserve">Ces prolégomènes furent réalisés </w:t>
      </w:r>
      <w:r w:rsidR="008B7B5F">
        <w:rPr>
          <w:rFonts w:ascii="Garamond" w:hAnsi="Garamond"/>
        </w:rPr>
        <w:t xml:space="preserve">par Teyssèdre </w:t>
      </w:r>
      <w:r w:rsidRPr="008544A5">
        <w:rPr>
          <w:rFonts w:ascii="Garamond" w:hAnsi="Garamond"/>
        </w:rPr>
        <w:t xml:space="preserve">en 1971 par la fondation </w:t>
      </w:r>
      <w:r w:rsidRPr="008544A5">
        <w:rPr>
          <w:rFonts w:ascii="Garamond" w:hAnsi="Garamond" w:cs="Arial"/>
          <w:color w:val="202122"/>
          <w:shd w:val="clear" w:color="auto" w:fill="FFFFFF"/>
        </w:rPr>
        <w:t>de l’UER des Arts plastiques, d'Esthétique et des Sciences de l'art.</w:t>
      </w:r>
    </w:p>
    <w:p w14:paraId="773E7E6C" w14:textId="77777777" w:rsidR="00B434BA" w:rsidRDefault="008544A5" w:rsidP="00B434BA">
      <w:pPr>
        <w:jc w:val="both"/>
        <w:rPr>
          <w:rFonts w:ascii="Garamond" w:hAnsi="Garamond"/>
        </w:rPr>
      </w:pPr>
      <w:r>
        <w:rPr>
          <w:rFonts w:ascii="Garamond" w:hAnsi="Garamond"/>
        </w:rPr>
        <w:t>Depuis, comme disait Fellini</w:t>
      </w:r>
      <w:r w:rsidR="003D2F71">
        <w:rPr>
          <w:rFonts w:ascii="Garamond" w:hAnsi="Garamond"/>
        </w:rPr>
        <w:t>,</w:t>
      </w:r>
      <w:r>
        <w:rPr>
          <w:rFonts w:ascii="Garamond" w:hAnsi="Garamond"/>
        </w:rPr>
        <w:t xml:space="preserve"> </w:t>
      </w:r>
      <w:r w:rsidRPr="008544A5">
        <w:rPr>
          <w:rFonts w:ascii="Garamond" w:hAnsi="Garamond"/>
          <w:i/>
          <w:iCs/>
        </w:rPr>
        <w:t>E la Nave Va</w:t>
      </w:r>
      <w:r>
        <w:rPr>
          <w:rFonts w:ascii="Garamond" w:hAnsi="Garamond"/>
        </w:rPr>
        <w:t>, « vogue la galère » !</w:t>
      </w:r>
    </w:p>
    <w:p w14:paraId="3384E002" w14:textId="77777777" w:rsidR="00B434BA" w:rsidRDefault="00B434BA" w:rsidP="00B434BA">
      <w:pPr>
        <w:jc w:val="both"/>
        <w:rPr>
          <w:rFonts w:ascii="Garamond" w:hAnsi="Garamond"/>
        </w:rPr>
      </w:pPr>
    </w:p>
    <w:p w14:paraId="0B92806D" w14:textId="77777777" w:rsidR="009568FA" w:rsidRPr="00A27AD9" w:rsidRDefault="009568FA" w:rsidP="00A27AD9">
      <w:pPr>
        <w:jc w:val="both"/>
        <w:rPr>
          <w:rFonts w:ascii="Garamond" w:hAnsi="Garamond"/>
        </w:rPr>
      </w:pPr>
    </w:p>
    <w:sectPr w:rsidR="009568FA" w:rsidRPr="00A27A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6D80" w14:textId="77777777" w:rsidR="00095FD3" w:rsidRDefault="00095FD3" w:rsidP="00A27AD9">
      <w:r>
        <w:separator/>
      </w:r>
    </w:p>
  </w:endnote>
  <w:endnote w:type="continuationSeparator" w:id="0">
    <w:p w14:paraId="518B5645" w14:textId="77777777" w:rsidR="00095FD3" w:rsidRDefault="00095FD3" w:rsidP="00A2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6683" w14:textId="77777777" w:rsidR="00095FD3" w:rsidRDefault="00095FD3" w:rsidP="00A27AD9">
      <w:r>
        <w:separator/>
      </w:r>
    </w:p>
  </w:footnote>
  <w:footnote w:type="continuationSeparator" w:id="0">
    <w:p w14:paraId="0EB2F3A8" w14:textId="77777777" w:rsidR="00095FD3" w:rsidRDefault="00095FD3" w:rsidP="00A27AD9">
      <w:r>
        <w:continuationSeparator/>
      </w:r>
    </w:p>
  </w:footnote>
  <w:footnote w:id="1">
    <w:p w14:paraId="0A27108C" w14:textId="77777777" w:rsidR="00C9610B" w:rsidRPr="009568FA" w:rsidRDefault="00C9610B" w:rsidP="00C9610B">
      <w:pPr>
        <w:jc w:val="both"/>
        <w:rPr>
          <w:rFonts w:ascii="Garamond" w:eastAsia="Times New Roman" w:hAnsi="Garamond" w:cs="Times New Roman"/>
          <w:kern w:val="0"/>
          <w:sz w:val="20"/>
          <w:szCs w:val="20"/>
          <w:lang w:eastAsia="fr-FR"/>
          <w14:ligatures w14:val="none"/>
        </w:rPr>
      </w:pPr>
      <w:r w:rsidRPr="009568FA">
        <w:rPr>
          <w:rStyle w:val="Appelnotedebasdep"/>
          <w:rFonts w:ascii="Garamond" w:hAnsi="Garamond"/>
          <w:sz w:val="20"/>
          <w:szCs w:val="20"/>
        </w:rPr>
        <w:footnoteRef/>
      </w:r>
      <w:r w:rsidRPr="009568FA">
        <w:rPr>
          <w:rFonts w:ascii="Garamond" w:hAnsi="Garamond"/>
          <w:sz w:val="20"/>
          <w:szCs w:val="20"/>
        </w:rPr>
        <w:t xml:space="preserve"> </w:t>
      </w:r>
      <w:r w:rsidRPr="009568FA">
        <w:rPr>
          <w:rFonts w:ascii="Garamond" w:eastAsia="Times New Roman" w:hAnsi="Garamond" w:cs="Times New Roman"/>
          <w:kern w:val="0"/>
          <w:sz w:val="20"/>
          <w:szCs w:val="20"/>
          <w:lang w:eastAsia="fr-FR"/>
          <w14:ligatures w14:val="none"/>
        </w:rPr>
        <w:t>B. Teyssèdre</w:t>
      </w:r>
      <w:r>
        <w:rPr>
          <w:rFonts w:ascii="Garamond" w:eastAsia="Times New Roman" w:hAnsi="Garamond" w:cs="Times New Roman"/>
          <w:kern w:val="0"/>
          <w:sz w:val="20"/>
          <w:szCs w:val="20"/>
          <w:lang w:eastAsia="fr-FR"/>
          <w14:ligatures w14:val="none"/>
        </w:rPr>
        <w:t xml:space="preserve">, </w:t>
      </w:r>
      <w:r w:rsidRPr="009568FA">
        <w:rPr>
          <w:rFonts w:ascii="Garamond" w:hAnsi="Garamond"/>
          <w:sz w:val="20"/>
          <w:szCs w:val="20"/>
        </w:rPr>
        <w:t xml:space="preserve">« La réflexion sur l'art et le devenir de la raison », </w:t>
      </w:r>
      <w:r w:rsidR="00F86187">
        <w:rPr>
          <w:rFonts w:ascii="Garamond" w:hAnsi="Garamond"/>
          <w:sz w:val="20"/>
          <w:szCs w:val="20"/>
        </w:rPr>
        <w:t xml:space="preserve">article paru </w:t>
      </w:r>
      <w:r w:rsidRPr="009568FA">
        <w:rPr>
          <w:rFonts w:ascii="Garamond" w:hAnsi="Garamond"/>
          <w:sz w:val="20"/>
          <w:szCs w:val="20"/>
        </w:rPr>
        <w:t xml:space="preserve">in </w:t>
      </w:r>
      <w:r>
        <w:rPr>
          <w:rFonts w:ascii="Garamond" w:eastAsia="Times New Roman" w:hAnsi="Garamond" w:cs="Times New Roman"/>
          <w:kern w:val="0"/>
          <w:sz w:val="20"/>
          <w:szCs w:val="20"/>
          <w:lang w:eastAsia="fr-FR"/>
          <w14:ligatures w14:val="none"/>
        </w:rPr>
        <w:t xml:space="preserve"> </w:t>
      </w:r>
      <w:r w:rsidRPr="009568FA">
        <w:rPr>
          <w:rFonts w:ascii="Garamond" w:eastAsia="Times New Roman" w:hAnsi="Garamond" w:cs="Times New Roman"/>
          <w:i/>
          <w:iCs/>
          <w:spacing w:val="-5"/>
          <w:kern w:val="0"/>
          <w:sz w:val="20"/>
          <w:szCs w:val="20"/>
          <w:lang w:eastAsia="fr-FR"/>
          <w14:ligatures w14:val="none"/>
        </w:rPr>
        <w:t>Revue Philosophique de la France et de l'Étranger</w:t>
      </w:r>
    </w:p>
    <w:p w14:paraId="17B293B1" w14:textId="77777777" w:rsidR="00C9610B" w:rsidRPr="00671617" w:rsidRDefault="00000000" w:rsidP="00C9610B">
      <w:pPr>
        <w:jc w:val="both"/>
        <w:rPr>
          <w:rFonts w:ascii="Garamond" w:eastAsia="Times New Roman" w:hAnsi="Garamond" w:cs="Times New Roman"/>
          <w:spacing w:val="-5"/>
          <w:kern w:val="0"/>
          <w:sz w:val="20"/>
          <w:szCs w:val="20"/>
          <w:lang w:eastAsia="fr-FR"/>
          <w14:ligatures w14:val="none"/>
        </w:rPr>
      </w:pPr>
      <w:hyperlink r:id="rId1" w:history="1">
        <w:r w:rsidR="00C9610B" w:rsidRPr="009568FA">
          <w:rPr>
            <w:rFonts w:ascii="Garamond" w:eastAsia="Times New Roman" w:hAnsi="Garamond" w:cs="Times New Roman"/>
            <w:color w:val="0000FF"/>
            <w:spacing w:val="-5"/>
            <w:kern w:val="0"/>
            <w:sz w:val="20"/>
            <w:szCs w:val="20"/>
            <w:u w:val="single"/>
            <w:lang w:eastAsia="fr-FR"/>
            <w14:ligatures w14:val="none"/>
          </w:rPr>
          <w:t>T. 151 (1961)</w:t>
        </w:r>
      </w:hyperlink>
      <w:r w:rsidR="00C9610B" w:rsidRPr="009568FA">
        <w:rPr>
          <w:rFonts w:ascii="Garamond" w:eastAsia="Times New Roman" w:hAnsi="Garamond" w:cs="Times New Roman"/>
          <w:spacing w:val="-5"/>
          <w:kern w:val="0"/>
          <w:sz w:val="20"/>
          <w:szCs w:val="20"/>
          <w:lang w:eastAsia="fr-FR"/>
          <w14:ligatures w14:val="none"/>
        </w:rPr>
        <w:t>, pp. 293-306 (14 pages)</w:t>
      </w:r>
      <w:r w:rsidR="00C9610B">
        <w:rPr>
          <w:rFonts w:ascii="Garamond" w:eastAsia="Times New Roman" w:hAnsi="Garamond" w:cs="Times New Roman"/>
          <w:spacing w:val="-5"/>
          <w:kern w:val="0"/>
          <w:sz w:val="20"/>
          <w:szCs w:val="20"/>
          <w:lang w:eastAsia="fr-FR"/>
          <w14:ligatures w14:val="none"/>
        </w:rPr>
        <w:t xml:space="preserve">, </w:t>
      </w:r>
      <w:r w:rsidR="00C9610B" w:rsidRPr="009568FA">
        <w:rPr>
          <w:rFonts w:ascii="Garamond" w:eastAsia="Times New Roman" w:hAnsi="Garamond" w:cs="Times New Roman"/>
          <w:spacing w:val="-5"/>
          <w:kern w:val="0"/>
          <w:sz w:val="20"/>
          <w:szCs w:val="20"/>
          <w:lang w:eastAsia="fr-FR"/>
          <w14:ligatures w14:val="none"/>
        </w:rPr>
        <w:t xml:space="preserve">Presses Universitaires de </w:t>
      </w:r>
      <w:r w:rsidR="00C9610B">
        <w:rPr>
          <w:rFonts w:ascii="Garamond" w:eastAsia="Times New Roman" w:hAnsi="Garamond" w:cs="Times New Roman"/>
          <w:spacing w:val="-5"/>
          <w:kern w:val="0"/>
          <w:sz w:val="20"/>
          <w:szCs w:val="20"/>
          <w:lang w:eastAsia="fr-FR"/>
          <w14:ligatures w14:val="none"/>
        </w:rPr>
        <w:t>France, 1961.</w:t>
      </w:r>
      <w:r w:rsidR="00C9610B" w:rsidRPr="009837B5">
        <w:t xml:space="preserve"> </w:t>
      </w:r>
      <w:hyperlink r:id="rId2" w:anchor="page_scan_tab_contents" w:history="1">
        <w:r w:rsidR="00C9610B" w:rsidRPr="00C51957">
          <w:rPr>
            <w:rStyle w:val="Lienhypertexte"/>
            <w:rFonts w:ascii="Garamond" w:eastAsia="Times New Roman" w:hAnsi="Garamond" w:cs="Times New Roman"/>
            <w:spacing w:val="-5"/>
            <w:kern w:val="0"/>
            <w:sz w:val="20"/>
            <w:szCs w:val="20"/>
            <w:lang w:eastAsia="fr-FR"/>
            <w14:ligatures w14:val="none"/>
          </w:rPr>
          <w:t>https://www.jstor.org/stable/41089848?read-now=1&amp;seq=7#page_scan_tab_contents</w:t>
        </w:r>
      </w:hyperlink>
      <w:r w:rsidR="00C9610B">
        <w:rPr>
          <w:rFonts w:ascii="Garamond" w:eastAsia="Times New Roman" w:hAnsi="Garamond" w:cs="Times New Roman"/>
          <w:spacing w:val="-5"/>
          <w:kern w:val="0"/>
          <w:sz w:val="20"/>
          <w:szCs w:val="20"/>
          <w:lang w:eastAsia="fr-FR"/>
          <w14:ligatures w14:val="none"/>
        </w:rPr>
        <w:t xml:space="preserve"> </w:t>
      </w:r>
      <w:r w:rsidR="00671617">
        <w:rPr>
          <w:rFonts w:ascii="Garamond" w:eastAsia="Times New Roman" w:hAnsi="Garamond" w:cs="Times New Roman"/>
          <w:spacing w:val="-5"/>
          <w:kern w:val="0"/>
          <w:sz w:val="20"/>
          <w:szCs w:val="20"/>
          <w:lang w:eastAsia="fr-FR"/>
          <w14:ligatures w14:val="none"/>
        </w:rPr>
        <w:t>.</w:t>
      </w:r>
      <w:r w:rsidR="00671617" w:rsidRPr="00671617">
        <w:rPr>
          <w:rFonts w:ascii="Garamond" w:hAnsi="Garamond"/>
        </w:rPr>
        <w:t xml:space="preserve"> </w:t>
      </w:r>
      <w:r w:rsidR="00671617" w:rsidRPr="00671617">
        <w:rPr>
          <w:rFonts w:ascii="Garamond" w:hAnsi="Garamond"/>
          <w:sz w:val="20"/>
          <w:szCs w:val="20"/>
        </w:rPr>
        <w:t>Tous les termes grecs dans cet article sont écrits en grec. Nous avons procédé à une translittération en alphabet latin.</w:t>
      </w:r>
    </w:p>
  </w:footnote>
  <w:footnote w:id="2">
    <w:p w14:paraId="38D8B60F" w14:textId="77777777" w:rsidR="00AC57D4" w:rsidRPr="00B771AC" w:rsidRDefault="00AC57D4">
      <w:pPr>
        <w:pStyle w:val="Notedebasdepage"/>
        <w:rPr>
          <w:rFonts w:ascii="Garamond" w:hAnsi="Garamond"/>
        </w:rPr>
      </w:pPr>
      <w:r w:rsidRPr="00B771AC">
        <w:rPr>
          <w:rStyle w:val="Appelnotedebasdep"/>
          <w:rFonts w:ascii="Garamond" w:hAnsi="Garamond"/>
        </w:rPr>
        <w:footnoteRef/>
      </w:r>
      <w:r w:rsidRPr="00B771AC">
        <w:rPr>
          <w:rFonts w:ascii="Garamond" w:hAnsi="Garamond"/>
        </w:rPr>
        <w:t xml:space="preserve"> Bernard Teyssèdre, </w:t>
      </w:r>
      <w:r w:rsidRPr="00B771AC">
        <w:rPr>
          <w:rFonts w:ascii="Garamond" w:hAnsi="Garamond"/>
          <w:i/>
          <w:iCs/>
        </w:rPr>
        <w:t>L’esthétique de Hegel</w:t>
      </w:r>
      <w:r w:rsidRPr="00B771AC">
        <w:rPr>
          <w:rFonts w:ascii="Garamond" w:hAnsi="Garamond"/>
        </w:rPr>
        <w:t xml:space="preserve">, P.U.F. /Que Sais-Je, 1958, ch. Premier, </w:t>
      </w:r>
    </w:p>
  </w:footnote>
  <w:footnote w:id="3">
    <w:p w14:paraId="6CCD1F3C" w14:textId="77777777" w:rsidR="00AC57D4" w:rsidRPr="00C9610B" w:rsidRDefault="00AC57D4">
      <w:pPr>
        <w:pStyle w:val="Notedebasdepage"/>
        <w:rPr>
          <w:rFonts w:ascii="Garamond" w:hAnsi="Garamond"/>
        </w:rPr>
      </w:pPr>
      <w:r w:rsidRPr="00B771AC">
        <w:rPr>
          <w:rStyle w:val="Appelnotedebasdep"/>
          <w:rFonts w:ascii="Garamond" w:hAnsi="Garamond"/>
        </w:rPr>
        <w:footnoteRef/>
      </w:r>
      <w:r w:rsidRPr="00B771AC">
        <w:rPr>
          <w:rFonts w:ascii="Garamond" w:hAnsi="Garamond"/>
        </w:rPr>
        <w:t xml:space="preserve"> G.W.F. Hegel, </w:t>
      </w:r>
      <w:r w:rsidRPr="00F86187">
        <w:rPr>
          <w:rFonts w:ascii="Garamond" w:hAnsi="Garamond"/>
          <w:i/>
          <w:iCs/>
        </w:rPr>
        <w:t>L’Esthétique</w:t>
      </w:r>
      <w:r w:rsidRPr="00B771AC">
        <w:rPr>
          <w:rFonts w:ascii="Garamond" w:hAnsi="Garamond"/>
        </w:rPr>
        <w:t xml:space="preserve">, </w:t>
      </w:r>
      <w:r w:rsidR="00B771AC" w:rsidRPr="00B771AC">
        <w:rPr>
          <w:rFonts w:ascii="Garamond" w:hAnsi="Garamond"/>
        </w:rPr>
        <w:t xml:space="preserve">Introduction, trad. Timmermans, Paris, Libraire Générale Française, 1997, p.61. </w:t>
      </w:r>
      <w:r w:rsidR="00B771AC" w:rsidRPr="00C9610B">
        <w:rPr>
          <w:rFonts w:ascii="Garamond" w:hAnsi="Garamond"/>
        </w:rPr>
        <w:t>Édition allemande consultée</w:t>
      </w:r>
      <w:r w:rsidR="00F86187">
        <w:rPr>
          <w:rFonts w:ascii="Garamond" w:hAnsi="Garamond"/>
        </w:rPr>
        <w:t xml:space="preserve"> </w:t>
      </w:r>
      <w:r w:rsidR="00B771AC" w:rsidRPr="00C9610B">
        <w:rPr>
          <w:rFonts w:ascii="Garamond" w:hAnsi="Garamond"/>
        </w:rPr>
        <w:t xml:space="preserve">:  </w:t>
      </w:r>
      <w:r w:rsidR="00B771AC" w:rsidRPr="00C9610B">
        <w:rPr>
          <w:rFonts w:ascii="Garamond" w:hAnsi="Garamond"/>
          <w:i/>
          <w:iCs/>
        </w:rPr>
        <w:t>Vorlesungen über die Ästhetik</w:t>
      </w:r>
      <w:r w:rsidR="00B771AC" w:rsidRPr="00C9610B">
        <w:rPr>
          <w:rFonts w:ascii="Garamond" w:hAnsi="Garamond"/>
        </w:rPr>
        <w:t>, vol. I, Frankfut am Main, Surhkamp, 1970, p. 25.</w:t>
      </w:r>
    </w:p>
  </w:footnote>
  <w:footnote w:id="4">
    <w:p w14:paraId="14342D12" w14:textId="77777777" w:rsidR="00F86187" w:rsidRPr="00E373D2" w:rsidRDefault="00DE782B" w:rsidP="00F86187">
      <w:pPr>
        <w:jc w:val="both"/>
        <w:rPr>
          <w:rFonts w:ascii="Garamond" w:eastAsia="Times New Roman" w:hAnsi="Garamond" w:cs="Times New Roman"/>
          <w:spacing w:val="-5"/>
          <w:kern w:val="0"/>
          <w:sz w:val="20"/>
          <w:szCs w:val="20"/>
          <w:lang w:eastAsia="fr-FR"/>
          <w14:ligatures w14:val="none"/>
        </w:rPr>
      </w:pPr>
      <w:r w:rsidRPr="009568FA">
        <w:rPr>
          <w:rStyle w:val="Appelnotedebasdep"/>
          <w:rFonts w:ascii="Garamond" w:hAnsi="Garamond"/>
          <w:sz w:val="20"/>
          <w:szCs w:val="20"/>
        </w:rPr>
        <w:footnoteRef/>
      </w:r>
      <w:r w:rsidRPr="009568FA">
        <w:rPr>
          <w:rFonts w:ascii="Garamond" w:hAnsi="Garamond"/>
          <w:sz w:val="20"/>
          <w:szCs w:val="20"/>
        </w:rPr>
        <w:t xml:space="preserve"> </w:t>
      </w:r>
      <w:r w:rsidR="00F86187">
        <w:rPr>
          <w:rFonts w:ascii="Garamond" w:eastAsia="Times New Roman" w:hAnsi="Garamond" w:cs="Times New Roman"/>
          <w:kern w:val="0"/>
          <w:sz w:val="20"/>
          <w:szCs w:val="20"/>
          <w:lang w:eastAsia="fr-FR"/>
          <w14:ligatures w14:val="none"/>
        </w:rPr>
        <w:t xml:space="preserve">Article cité. </w:t>
      </w:r>
    </w:p>
    <w:p w14:paraId="30B1D126" w14:textId="77777777" w:rsidR="00DE782B" w:rsidRPr="00E373D2" w:rsidRDefault="00DE782B" w:rsidP="00E373D2">
      <w:pPr>
        <w:jc w:val="both"/>
        <w:rPr>
          <w:rFonts w:ascii="Garamond" w:eastAsia="Times New Roman" w:hAnsi="Garamond" w:cs="Times New Roman"/>
          <w:spacing w:val="-5"/>
          <w:kern w:val="0"/>
          <w:sz w:val="20"/>
          <w:szCs w:val="20"/>
          <w:lang w:eastAsia="fr-FR"/>
          <w14:ligatures w14:val="none"/>
        </w:rPr>
      </w:pPr>
    </w:p>
  </w:footnote>
  <w:footnote w:id="5">
    <w:p w14:paraId="30B16ED4" w14:textId="77777777" w:rsidR="00E373D2" w:rsidRPr="008E517E" w:rsidRDefault="00E373D2">
      <w:pPr>
        <w:pStyle w:val="Notedebasdepage"/>
        <w:rPr>
          <w:rFonts w:ascii="Garamond" w:hAnsi="Garamond"/>
        </w:rPr>
      </w:pPr>
      <w:r w:rsidRPr="008E517E">
        <w:rPr>
          <w:rStyle w:val="Appelnotedebasdep"/>
          <w:rFonts w:ascii="Garamond" w:hAnsi="Garamond"/>
        </w:rPr>
        <w:footnoteRef/>
      </w:r>
      <w:r w:rsidRPr="008E517E">
        <w:rPr>
          <w:rFonts w:ascii="Garamond" w:hAnsi="Garamond"/>
        </w:rPr>
        <w:t xml:space="preserve"> </w:t>
      </w:r>
      <w:r w:rsidRPr="002608FF">
        <w:rPr>
          <w:rFonts w:ascii="Garamond" w:hAnsi="Garamond"/>
          <w:i/>
          <w:iCs/>
        </w:rPr>
        <w:t>Idem</w:t>
      </w:r>
      <w:r w:rsidRPr="008E517E">
        <w:rPr>
          <w:rFonts w:ascii="Garamond" w:hAnsi="Garamond"/>
        </w:rPr>
        <w:t>, p.298.</w:t>
      </w:r>
    </w:p>
  </w:footnote>
  <w:footnote w:id="6">
    <w:p w14:paraId="21F5948F" w14:textId="77777777" w:rsidR="00486F5F" w:rsidRPr="00486F5F" w:rsidRDefault="00486F5F">
      <w:pPr>
        <w:pStyle w:val="Notedebasdepage"/>
        <w:rPr>
          <w:rFonts w:ascii="Garamond" w:hAnsi="Garamond"/>
        </w:rPr>
      </w:pPr>
      <w:r w:rsidRPr="00486F5F">
        <w:rPr>
          <w:rStyle w:val="Appelnotedebasdep"/>
          <w:rFonts w:ascii="Garamond" w:hAnsi="Garamond"/>
        </w:rPr>
        <w:footnoteRef/>
      </w:r>
      <w:r w:rsidRPr="00486F5F">
        <w:rPr>
          <w:rFonts w:ascii="Garamond" w:hAnsi="Garamond"/>
        </w:rPr>
        <w:t xml:space="preserve"> Sur la figuration</w:t>
      </w:r>
      <w:r>
        <w:rPr>
          <w:rFonts w:ascii="Garamond" w:hAnsi="Garamond"/>
        </w:rPr>
        <w:t>,</w:t>
      </w:r>
      <w:r w:rsidRPr="00486F5F">
        <w:rPr>
          <w:rFonts w:ascii="Garamond" w:hAnsi="Garamond"/>
        </w:rPr>
        <w:t xml:space="preserve"> voir l’anthologie produite par Bernard Teyssèdre : G-</w:t>
      </w:r>
      <w:r w:rsidRPr="00486F5F">
        <w:rPr>
          <w:rFonts w:ascii="Garamond" w:hAnsi="Garamond" w:cs="Arial"/>
          <w:i/>
          <w:iCs/>
          <w:color w:val="202122"/>
        </w:rPr>
        <w:t>W.-F. Hegel, Esthétique de la peinture figurative</w:t>
      </w:r>
      <w:r w:rsidRPr="00486F5F">
        <w:rPr>
          <w:rFonts w:ascii="Garamond" w:hAnsi="Garamond" w:cs="Arial"/>
          <w:color w:val="202122"/>
          <w:shd w:val="clear" w:color="auto" w:fill="FFFFFF"/>
        </w:rPr>
        <w:t>, Paris, Ed. Hermann, coll. « Miroirs de l'art », 1964.</w:t>
      </w:r>
    </w:p>
  </w:footnote>
  <w:footnote w:id="7">
    <w:p w14:paraId="6550E7BF" w14:textId="77777777" w:rsidR="002A6AE0" w:rsidRPr="008E517E" w:rsidRDefault="002A6AE0">
      <w:pPr>
        <w:pStyle w:val="Notedebasdepage"/>
        <w:rPr>
          <w:rFonts w:ascii="Garamond" w:hAnsi="Garamond"/>
        </w:rPr>
      </w:pPr>
      <w:r w:rsidRPr="008E517E">
        <w:rPr>
          <w:rStyle w:val="Appelnotedebasdep"/>
          <w:rFonts w:ascii="Garamond" w:hAnsi="Garamond"/>
        </w:rPr>
        <w:footnoteRef/>
      </w:r>
      <w:r w:rsidRPr="008E517E">
        <w:rPr>
          <w:rFonts w:ascii="Garamond" w:hAnsi="Garamond"/>
        </w:rPr>
        <w:t xml:space="preserve"> Par exemple Lucien Rudrauf produisit une remarquable étude des Annonciations de la Renaissance</w:t>
      </w:r>
      <w:r w:rsidR="002608FF">
        <w:rPr>
          <w:rFonts w:ascii="Garamond" w:hAnsi="Garamond"/>
        </w:rPr>
        <w:t xml:space="preserve"> </w:t>
      </w:r>
      <w:r w:rsidR="002608FF" w:rsidRPr="002608FF">
        <w:rPr>
          <w:rFonts w:ascii="Garamond" w:hAnsi="Garamond"/>
          <w:color w:val="000000"/>
          <w:shd w:val="clear" w:color="auto" w:fill="FFFFFF"/>
        </w:rPr>
        <w:t>(</w:t>
      </w:r>
      <w:r w:rsidR="002608FF" w:rsidRPr="002608FF">
        <w:rPr>
          <w:rStyle w:val="Accentuation"/>
          <w:rFonts w:ascii="Garamond" w:hAnsi="Garamond"/>
          <w:color w:val="000000"/>
        </w:rPr>
        <w:t>L'Annonciation, étude d'un thème plastique et de ses variations en peinture et en sculpture</w:t>
      </w:r>
      <w:r w:rsidR="002608FF" w:rsidRPr="002608FF">
        <w:rPr>
          <w:rFonts w:ascii="Garamond" w:hAnsi="Garamond"/>
          <w:color w:val="000000"/>
          <w:shd w:val="clear" w:color="auto" w:fill="FFFFFF"/>
        </w:rPr>
        <w:t>, Paris, Grou-Radenez, 1943)</w:t>
      </w:r>
      <w:r w:rsidRPr="002608FF">
        <w:rPr>
          <w:rFonts w:ascii="Garamond" w:hAnsi="Garamond"/>
        </w:rPr>
        <w:t xml:space="preserve">, montrant que les multiples variations des artistes pouvaient </w:t>
      </w:r>
      <w:r w:rsidR="002608FF">
        <w:rPr>
          <w:rFonts w:ascii="Garamond" w:hAnsi="Garamond"/>
        </w:rPr>
        <w:t>s</w:t>
      </w:r>
      <w:r w:rsidRPr="002608FF">
        <w:rPr>
          <w:rFonts w:ascii="Garamond" w:hAnsi="Garamond"/>
        </w:rPr>
        <w:t>’ordonner en schémas pré</w:t>
      </w:r>
      <w:r w:rsidRPr="008E517E">
        <w:rPr>
          <w:rFonts w:ascii="Garamond" w:hAnsi="Garamond"/>
        </w:rPr>
        <w:t>cis et peu nombreux.</w:t>
      </w:r>
    </w:p>
  </w:footnote>
  <w:footnote w:id="8">
    <w:p w14:paraId="6BD77442" w14:textId="77777777" w:rsidR="007F4F65" w:rsidRPr="008E517E" w:rsidRDefault="007F4F65" w:rsidP="002608FF">
      <w:pPr>
        <w:pStyle w:val="Notedebasdepage"/>
        <w:jc w:val="both"/>
        <w:rPr>
          <w:rFonts w:ascii="Garamond" w:hAnsi="Garamond"/>
        </w:rPr>
      </w:pPr>
      <w:r w:rsidRPr="008E517E">
        <w:rPr>
          <w:rStyle w:val="Appelnotedebasdep"/>
          <w:rFonts w:ascii="Garamond" w:hAnsi="Garamond"/>
        </w:rPr>
        <w:footnoteRef/>
      </w:r>
      <w:r w:rsidRPr="008E517E">
        <w:rPr>
          <w:rFonts w:ascii="Garamond" w:hAnsi="Garamond"/>
        </w:rPr>
        <w:t xml:space="preserve"> Ce rapport entre </w:t>
      </w:r>
      <w:r w:rsidRPr="008E517E">
        <w:rPr>
          <w:rFonts w:ascii="Garamond" w:hAnsi="Garamond"/>
          <w:i/>
          <w:iCs/>
        </w:rPr>
        <w:t>hexis</w:t>
      </w:r>
      <w:r w:rsidRPr="008E517E">
        <w:rPr>
          <w:rFonts w:ascii="Garamond" w:hAnsi="Garamond"/>
        </w:rPr>
        <w:t xml:space="preserve"> (manière d’être) et </w:t>
      </w:r>
      <w:r w:rsidRPr="008E517E">
        <w:rPr>
          <w:rFonts w:ascii="Garamond" w:hAnsi="Garamond"/>
          <w:i/>
          <w:iCs/>
        </w:rPr>
        <w:t>praxis</w:t>
      </w:r>
      <w:r w:rsidRPr="008E517E">
        <w:rPr>
          <w:rFonts w:ascii="Garamond" w:hAnsi="Garamond"/>
        </w:rPr>
        <w:t xml:space="preserve"> (l’action en elle-même), </w:t>
      </w:r>
      <w:r w:rsidR="006437AD">
        <w:rPr>
          <w:rFonts w:ascii="Garamond" w:hAnsi="Garamond"/>
        </w:rPr>
        <w:t xml:space="preserve">est principalement </w:t>
      </w:r>
      <w:r w:rsidRPr="008E517E">
        <w:rPr>
          <w:rFonts w:ascii="Garamond" w:hAnsi="Garamond"/>
        </w:rPr>
        <w:t>hérité d’Aristote</w:t>
      </w:r>
      <w:r w:rsidR="006437AD">
        <w:rPr>
          <w:rFonts w:ascii="Garamond" w:hAnsi="Garamond"/>
        </w:rPr>
        <w:t>.</w:t>
      </w:r>
      <w:r w:rsidRPr="008E517E">
        <w:rPr>
          <w:rFonts w:ascii="Garamond" w:hAnsi="Garamond"/>
        </w:rPr>
        <w:t xml:space="preserve"> </w:t>
      </w:r>
      <w:r w:rsidR="006437AD" w:rsidRPr="008E517E">
        <w:rPr>
          <w:rFonts w:ascii="Garamond" w:hAnsi="Garamond"/>
          <w:i/>
          <w:iCs/>
        </w:rPr>
        <w:t>L’hexis</w:t>
      </w:r>
      <w:r w:rsidR="006437AD" w:rsidRPr="008E517E">
        <w:rPr>
          <w:rFonts w:ascii="Garamond" w:hAnsi="Garamond"/>
        </w:rPr>
        <w:t xml:space="preserve"> désigne </w:t>
      </w:r>
      <w:r w:rsidR="006437AD">
        <w:rPr>
          <w:rFonts w:ascii="Garamond" w:hAnsi="Garamond"/>
        </w:rPr>
        <w:t>une disposition d’un individu, fondé</w:t>
      </w:r>
      <w:r w:rsidR="0001245F">
        <w:rPr>
          <w:rFonts w:ascii="Garamond" w:hAnsi="Garamond"/>
        </w:rPr>
        <w:t>e</w:t>
      </w:r>
      <w:r w:rsidR="006437AD">
        <w:rPr>
          <w:rFonts w:ascii="Garamond" w:hAnsi="Garamond"/>
        </w:rPr>
        <w:t xml:space="preserve"> sur son caractère ou son éducation, et</w:t>
      </w:r>
      <w:r w:rsidR="006437AD" w:rsidRPr="006437AD">
        <w:rPr>
          <w:rFonts w:ascii="Garamond" w:hAnsi="Garamond"/>
        </w:rPr>
        <w:t xml:space="preserve"> </w:t>
      </w:r>
      <w:r w:rsidR="006437AD">
        <w:rPr>
          <w:rFonts w:ascii="Garamond" w:hAnsi="Garamond"/>
        </w:rPr>
        <w:t xml:space="preserve">la </w:t>
      </w:r>
      <w:r w:rsidR="006437AD" w:rsidRPr="00D67B3A">
        <w:rPr>
          <w:rFonts w:ascii="Garamond" w:hAnsi="Garamond"/>
          <w:i/>
          <w:iCs/>
        </w:rPr>
        <w:t>praxis</w:t>
      </w:r>
      <w:r w:rsidR="006437AD">
        <w:rPr>
          <w:rFonts w:ascii="Garamond" w:hAnsi="Garamond"/>
        </w:rPr>
        <w:t>, foncièrement, est une action fondée sur une activité de l’âme selon la raison. Ce rapport</w:t>
      </w:r>
      <w:r w:rsidR="006437AD" w:rsidRPr="008E517E">
        <w:rPr>
          <w:rFonts w:ascii="Garamond" w:hAnsi="Garamond"/>
        </w:rPr>
        <w:t xml:space="preserve"> </w:t>
      </w:r>
      <w:r w:rsidR="006437AD">
        <w:rPr>
          <w:rFonts w:ascii="Garamond" w:hAnsi="Garamond"/>
        </w:rPr>
        <w:t xml:space="preserve">entre </w:t>
      </w:r>
      <w:r w:rsidR="006437AD" w:rsidRPr="006437AD">
        <w:rPr>
          <w:rFonts w:ascii="Garamond" w:hAnsi="Garamond"/>
          <w:i/>
          <w:iCs/>
        </w:rPr>
        <w:t>hexis</w:t>
      </w:r>
      <w:r w:rsidR="006437AD">
        <w:rPr>
          <w:rFonts w:ascii="Garamond" w:hAnsi="Garamond"/>
        </w:rPr>
        <w:t xml:space="preserve"> et </w:t>
      </w:r>
      <w:r w:rsidR="006437AD" w:rsidRPr="006437AD">
        <w:rPr>
          <w:rFonts w:ascii="Garamond" w:hAnsi="Garamond"/>
          <w:i/>
          <w:iCs/>
        </w:rPr>
        <w:t>praxis</w:t>
      </w:r>
      <w:r w:rsidR="006437AD">
        <w:rPr>
          <w:rFonts w:ascii="Garamond" w:hAnsi="Garamond"/>
        </w:rPr>
        <w:t xml:space="preserve"> </w:t>
      </w:r>
      <w:r w:rsidRPr="008E517E">
        <w:rPr>
          <w:rFonts w:ascii="Garamond" w:hAnsi="Garamond"/>
        </w:rPr>
        <w:t>fut r</w:t>
      </w:r>
      <w:r w:rsidR="008E517E" w:rsidRPr="008E517E">
        <w:rPr>
          <w:rFonts w:ascii="Garamond" w:hAnsi="Garamond"/>
        </w:rPr>
        <w:t>et</w:t>
      </w:r>
      <w:r w:rsidRPr="008E517E">
        <w:rPr>
          <w:rFonts w:ascii="Garamond" w:hAnsi="Garamond"/>
        </w:rPr>
        <w:t>ravaillé par Sartre</w:t>
      </w:r>
      <w:r w:rsidR="006437AD">
        <w:rPr>
          <w:rFonts w:ascii="Garamond" w:hAnsi="Garamond"/>
        </w:rPr>
        <w:t xml:space="preserve">, d’un point de vue marxiste, </w:t>
      </w:r>
      <w:r w:rsidR="008E517E" w:rsidRPr="008E517E">
        <w:rPr>
          <w:rFonts w:ascii="Garamond" w:hAnsi="Garamond"/>
        </w:rPr>
        <w:t xml:space="preserve">dans </w:t>
      </w:r>
      <w:r w:rsidR="008E517E" w:rsidRPr="008E517E">
        <w:rPr>
          <w:rFonts w:ascii="Garamond" w:hAnsi="Garamond"/>
          <w:i/>
          <w:iCs/>
        </w:rPr>
        <w:t>La Critique de la Raison dialectique</w:t>
      </w:r>
      <w:r w:rsidR="008E517E" w:rsidRPr="008E517E">
        <w:rPr>
          <w:rFonts w:ascii="Garamond" w:hAnsi="Garamond"/>
        </w:rPr>
        <w:t xml:space="preserve"> (</w:t>
      </w:r>
      <w:r w:rsidR="0001245F">
        <w:rPr>
          <w:rFonts w:ascii="Garamond" w:hAnsi="Garamond"/>
        </w:rPr>
        <w:t xml:space="preserve">Paris, </w:t>
      </w:r>
      <w:r w:rsidR="008E517E" w:rsidRPr="008E517E">
        <w:rPr>
          <w:rFonts w:ascii="Garamond" w:hAnsi="Garamond"/>
        </w:rPr>
        <w:t xml:space="preserve">Gallimard, 1960). </w:t>
      </w:r>
      <w:r w:rsidR="006437AD">
        <w:rPr>
          <w:rFonts w:ascii="Garamond" w:hAnsi="Garamond"/>
        </w:rPr>
        <w:t xml:space="preserve">Ici Teyssèdre concilie, nous semble-t-il </w:t>
      </w:r>
      <w:r w:rsidR="002608FF">
        <w:rPr>
          <w:rFonts w:ascii="Garamond" w:hAnsi="Garamond"/>
        </w:rPr>
        <w:t xml:space="preserve">ce sens antique et cette interprétation contemporaine. Notons enfin que </w:t>
      </w:r>
      <w:r w:rsidR="002608FF" w:rsidRPr="002608FF">
        <w:rPr>
          <w:rFonts w:ascii="Garamond" w:hAnsi="Garamond"/>
          <w:i/>
          <w:iCs/>
        </w:rPr>
        <w:t>l’hexis</w:t>
      </w:r>
      <w:r w:rsidR="002608FF">
        <w:rPr>
          <w:rFonts w:ascii="Garamond" w:hAnsi="Garamond"/>
        </w:rPr>
        <w:t xml:space="preserve"> connut, sous la plume de Bourdieu, </w:t>
      </w:r>
      <w:r w:rsidR="0001245F">
        <w:rPr>
          <w:rFonts w:ascii="Garamond" w:hAnsi="Garamond"/>
        </w:rPr>
        <w:t xml:space="preserve">strict contemporain de Teyssèdre, </w:t>
      </w:r>
      <w:r w:rsidR="002608FF">
        <w:rPr>
          <w:rFonts w:ascii="Garamond" w:hAnsi="Garamond"/>
        </w:rPr>
        <w:t xml:space="preserve">une notoriété dans sa version latine </w:t>
      </w:r>
      <w:r w:rsidR="002608FF" w:rsidRPr="002608FF">
        <w:rPr>
          <w:rFonts w:ascii="Garamond" w:hAnsi="Garamond"/>
          <w:i/>
          <w:iCs/>
        </w:rPr>
        <w:t>d’habitus</w:t>
      </w:r>
      <w:r w:rsidR="002608FF">
        <w:rPr>
          <w:rFonts w:ascii="Garamond" w:hAnsi="Garamond"/>
        </w:rPr>
        <w:t xml:space="preserve">, inscrivant les manières individuelles dans des classes historiquement déterminées et déterminantes. </w:t>
      </w:r>
    </w:p>
  </w:footnote>
  <w:footnote w:id="9">
    <w:p w14:paraId="4393FB11" w14:textId="77777777" w:rsidR="00D24593" w:rsidRPr="008E517E" w:rsidRDefault="00D24593">
      <w:pPr>
        <w:pStyle w:val="Notedebasdepage"/>
        <w:rPr>
          <w:rFonts w:ascii="Garamond" w:hAnsi="Garamond"/>
        </w:rPr>
      </w:pPr>
      <w:r w:rsidRPr="008E517E">
        <w:rPr>
          <w:rStyle w:val="Appelnotedebasdep"/>
          <w:rFonts w:ascii="Garamond" w:hAnsi="Garamond"/>
        </w:rPr>
        <w:footnoteRef/>
      </w:r>
      <w:r w:rsidRPr="008E517E">
        <w:rPr>
          <w:rFonts w:ascii="Garamond" w:hAnsi="Garamond"/>
        </w:rPr>
        <w:t xml:space="preserve"> Teyssèdre, article cité, p.301. Nous voyons dans ce passage ce qui sera l’intuition même qui conduira</w:t>
      </w:r>
      <w:r w:rsidR="002608FF">
        <w:rPr>
          <w:rFonts w:ascii="Garamond" w:hAnsi="Garamond"/>
        </w:rPr>
        <w:t xml:space="preserve"> </w:t>
      </w:r>
      <w:r w:rsidRPr="008E517E">
        <w:rPr>
          <w:rFonts w:ascii="Garamond" w:hAnsi="Garamond"/>
        </w:rPr>
        <w:t xml:space="preserve">Teyssèdre à demander la constitution d’une faculté d’arts : non pas une école d’arts, mais un lieu </w:t>
      </w:r>
      <w:r w:rsidR="002608FF">
        <w:rPr>
          <w:rFonts w:ascii="Garamond" w:hAnsi="Garamond"/>
        </w:rPr>
        <w:t xml:space="preserve">intellectuel </w:t>
      </w:r>
      <w:r w:rsidRPr="008E517E">
        <w:rPr>
          <w:rFonts w:ascii="Garamond" w:hAnsi="Garamond"/>
        </w:rPr>
        <w:t xml:space="preserve">où le </w:t>
      </w:r>
      <w:r w:rsidRPr="008E517E">
        <w:rPr>
          <w:rFonts w:ascii="Garamond" w:hAnsi="Garamond"/>
          <w:i/>
          <w:iCs/>
        </w:rPr>
        <w:t>po</w:t>
      </w:r>
      <w:r w:rsidR="002608FF">
        <w:rPr>
          <w:rFonts w:ascii="Garamond" w:hAnsi="Garamond"/>
          <w:i/>
          <w:iCs/>
        </w:rPr>
        <w:t>ï</w:t>
      </w:r>
      <w:r w:rsidRPr="008E517E">
        <w:rPr>
          <w:rFonts w:ascii="Garamond" w:hAnsi="Garamond"/>
          <w:i/>
          <w:iCs/>
        </w:rPr>
        <w:t>on</w:t>
      </w:r>
      <w:r w:rsidRPr="008E517E">
        <w:rPr>
          <w:rFonts w:ascii="Garamond" w:hAnsi="Garamond"/>
        </w:rPr>
        <w:t xml:space="preserve"> artistique est une </w:t>
      </w:r>
      <w:r w:rsidRPr="002608FF">
        <w:rPr>
          <w:rFonts w:ascii="Garamond" w:hAnsi="Garamond"/>
          <w:i/>
          <w:iCs/>
        </w:rPr>
        <w:t>praxis</w:t>
      </w:r>
      <w:r w:rsidRPr="008E517E">
        <w:rPr>
          <w:rFonts w:ascii="Garamond" w:hAnsi="Garamond"/>
        </w:rPr>
        <w:t xml:space="preserve"> socialement pensée</w:t>
      </w:r>
      <w:r w:rsidR="002608FF">
        <w:rPr>
          <w:rFonts w:ascii="Garamond" w:hAnsi="Garamond"/>
        </w:rPr>
        <w:t>.</w:t>
      </w:r>
    </w:p>
  </w:footnote>
  <w:footnote w:id="10">
    <w:p w14:paraId="1F139504" w14:textId="77777777" w:rsidR="00A17407" w:rsidRPr="008E517E" w:rsidRDefault="00A17407">
      <w:pPr>
        <w:pStyle w:val="Notedebasdepage"/>
        <w:rPr>
          <w:rFonts w:ascii="Garamond" w:hAnsi="Garamond"/>
        </w:rPr>
      </w:pPr>
      <w:r w:rsidRPr="008E517E">
        <w:rPr>
          <w:rStyle w:val="Appelnotedebasdep"/>
          <w:rFonts w:ascii="Garamond" w:hAnsi="Garamond"/>
        </w:rPr>
        <w:footnoteRef/>
      </w:r>
      <w:r w:rsidRPr="008E517E">
        <w:rPr>
          <w:rFonts w:ascii="Garamond" w:hAnsi="Garamond"/>
        </w:rPr>
        <w:t xml:space="preserve"> </w:t>
      </w:r>
      <w:r w:rsidRPr="002608FF">
        <w:rPr>
          <w:rFonts w:ascii="Garamond" w:hAnsi="Garamond"/>
          <w:i/>
          <w:iCs/>
        </w:rPr>
        <w:t>Idem</w:t>
      </w:r>
      <w:r w:rsidRPr="008E517E">
        <w:rPr>
          <w:rFonts w:ascii="Garamond" w:hAnsi="Garamond"/>
        </w:rPr>
        <w:t>, p.303</w:t>
      </w:r>
    </w:p>
  </w:footnote>
  <w:footnote w:id="11">
    <w:p w14:paraId="4D488C20" w14:textId="77777777" w:rsidR="00791C74" w:rsidRPr="008E517E" w:rsidRDefault="00791C74">
      <w:pPr>
        <w:pStyle w:val="Notedebasdepage"/>
        <w:rPr>
          <w:rFonts w:ascii="Garamond" w:hAnsi="Garamond"/>
        </w:rPr>
      </w:pPr>
      <w:r w:rsidRPr="008E517E">
        <w:rPr>
          <w:rStyle w:val="Appelnotedebasdep"/>
          <w:rFonts w:ascii="Garamond" w:hAnsi="Garamond"/>
        </w:rPr>
        <w:footnoteRef/>
      </w:r>
      <w:r w:rsidRPr="008E517E">
        <w:rPr>
          <w:rFonts w:ascii="Garamond" w:hAnsi="Garamond"/>
        </w:rPr>
        <w:t xml:space="preserve"> </w:t>
      </w:r>
      <w:r w:rsidRPr="002608FF">
        <w:rPr>
          <w:rFonts w:ascii="Garamond" w:hAnsi="Garamond"/>
          <w:i/>
          <w:iCs/>
        </w:rPr>
        <w:t>Idem</w:t>
      </w:r>
      <w:r w:rsidRPr="008E517E">
        <w:rPr>
          <w:rFonts w:ascii="Garamond" w:hAnsi="Garamond"/>
        </w:rPr>
        <w:t xml:space="preserve">, p.306. </w:t>
      </w:r>
      <w:r w:rsidR="002608FF">
        <w:rPr>
          <w:rFonts w:ascii="Garamond" w:hAnsi="Garamond"/>
        </w:rPr>
        <w:t xml:space="preserve">Le </w:t>
      </w:r>
      <w:r w:rsidR="002608FF" w:rsidRPr="002608FF">
        <w:rPr>
          <w:rFonts w:ascii="Garamond" w:hAnsi="Garamond"/>
          <w:i/>
          <w:iCs/>
        </w:rPr>
        <w:t>tychon ti</w:t>
      </w:r>
      <w:r w:rsidR="002608FF">
        <w:rPr>
          <w:rFonts w:ascii="Garamond" w:hAnsi="Garamond"/>
        </w:rPr>
        <w:t xml:space="preserve"> désigne </w:t>
      </w:r>
      <w:r w:rsidR="00671617">
        <w:rPr>
          <w:rFonts w:ascii="Garamond" w:hAnsi="Garamond"/>
        </w:rPr>
        <w:t xml:space="preserve">l’ordre des rencontres, le « c’est ainsi » qui peut être autrement par le hasard des choses. </w:t>
      </w:r>
      <w:r w:rsidR="002608FF">
        <w:rPr>
          <w:rFonts w:ascii="Garamond" w:hAnsi="Garamond"/>
        </w:rPr>
        <w:t xml:space="preserve"> </w:t>
      </w:r>
    </w:p>
  </w:footnote>
  <w:footnote w:id="12">
    <w:p w14:paraId="73348103" w14:textId="77777777" w:rsidR="002974CC" w:rsidRPr="002974CC" w:rsidRDefault="002974CC">
      <w:pPr>
        <w:pStyle w:val="Notedebasdepage"/>
        <w:rPr>
          <w:rFonts w:ascii="Garamond" w:hAnsi="Garamond"/>
        </w:rPr>
      </w:pPr>
      <w:r w:rsidRPr="002974CC">
        <w:rPr>
          <w:rStyle w:val="Appelnotedebasdep"/>
          <w:rFonts w:ascii="Garamond" w:hAnsi="Garamond"/>
        </w:rPr>
        <w:footnoteRef/>
      </w:r>
      <w:r w:rsidRPr="002974CC">
        <w:rPr>
          <w:rFonts w:ascii="Garamond" w:hAnsi="Garamond"/>
        </w:rPr>
        <w:t xml:space="preserve"> Voir René Passeron, </w:t>
      </w:r>
      <w:r w:rsidRPr="002974CC">
        <w:rPr>
          <w:rFonts w:ascii="Garamond" w:hAnsi="Garamond"/>
          <w:i/>
          <w:iCs/>
        </w:rPr>
        <w:t>La Naissance d’Icare. Éléments de Poïétique générale</w:t>
      </w:r>
      <w:r w:rsidRPr="002974CC">
        <w:rPr>
          <w:rFonts w:ascii="Garamond" w:hAnsi="Garamond"/>
        </w:rPr>
        <w:t xml:space="preserve">, Paris Ae2cg </w:t>
      </w:r>
      <w:r>
        <w:rPr>
          <w:rFonts w:ascii="Garamond" w:hAnsi="Garamond"/>
        </w:rPr>
        <w:t>É</w:t>
      </w:r>
      <w:r w:rsidRPr="002974CC">
        <w:rPr>
          <w:rFonts w:ascii="Garamond" w:hAnsi="Garamond"/>
        </w:rPr>
        <w:t>ditions, 1996.</w:t>
      </w:r>
    </w:p>
  </w:footnote>
  <w:footnote w:id="13">
    <w:p w14:paraId="404644AE" w14:textId="77777777" w:rsidR="002F0168" w:rsidRPr="002F0168" w:rsidRDefault="002F0168">
      <w:pPr>
        <w:pStyle w:val="Notedebasdepage"/>
        <w:rPr>
          <w:rFonts w:ascii="Garamond" w:hAnsi="Garamond"/>
          <w:lang w:val="en-US"/>
        </w:rPr>
      </w:pPr>
      <w:r w:rsidRPr="002F0168">
        <w:rPr>
          <w:rStyle w:val="Appelnotedebasdep"/>
          <w:rFonts w:ascii="Garamond" w:hAnsi="Garamond"/>
        </w:rPr>
        <w:footnoteRef/>
      </w:r>
      <w:r w:rsidRPr="002F0168">
        <w:rPr>
          <w:rFonts w:ascii="Garamond" w:hAnsi="Garamond"/>
          <w:lang w:val="en-US"/>
        </w:rPr>
        <w:t xml:space="preserve"> Cf. Hegel, </w:t>
      </w:r>
      <w:r w:rsidRPr="002F0168">
        <w:rPr>
          <w:rFonts w:ascii="Garamond" w:hAnsi="Garamond"/>
          <w:i/>
          <w:iCs/>
          <w:lang w:val="en-US"/>
        </w:rPr>
        <w:t>Vorlesungen über die Ästhetik</w:t>
      </w:r>
      <w:r w:rsidRPr="002F0168">
        <w:rPr>
          <w:rFonts w:ascii="Garamond" w:hAnsi="Garamond"/>
          <w:lang w:val="en-US"/>
        </w:rPr>
        <w:t>, t. III, Berlin, Suhrkamp, 3e éd. 1993, p. 573.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D916" w14:textId="11D5850A" w:rsidR="00A27AD9" w:rsidRDefault="00A27AD9">
    <w:pPr>
      <w:pStyle w:val="En-tte"/>
    </w:pPr>
    <w:r>
      <w:rPr>
        <w:rFonts w:ascii="Times New Roman" w:hAnsi="Times New Roman"/>
      </w:rPr>
      <w:fldChar w:fldCharType="begin"/>
    </w:r>
    <w:r>
      <w:rPr>
        <w:rFonts w:ascii="Times New Roman" w:hAnsi="Times New Roman"/>
      </w:rPr>
      <w:instrText xml:space="preserve"> AUTHOR </w:instrText>
    </w:r>
    <w:r>
      <w:rPr>
        <w:rFonts w:ascii="Times New Roman" w:hAnsi="Times New Roman"/>
      </w:rPr>
      <w:fldChar w:fldCharType="separate"/>
    </w:r>
    <w:r>
      <w:rPr>
        <w:rFonts w:ascii="Times New Roman" w:hAnsi="Times New Roman"/>
        <w:noProof/>
      </w:rPr>
      <w:t>Christophe Genin</w:t>
    </w:r>
    <w:r>
      <w:rPr>
        <w:rFonts w:ascii="Times New Roman" w:hAnsi="Times New Roman"/>
      </w:rPr>
      <w:fldChar w:fldCharType="end"/>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ab/>
    </w:r>
    <w:r>
      <w:rPr>
        <w:rFonts w:ascii="Times New Roman" w:hAnsi="Times New Roman"/>
      </w:rPr>
      <w:fldChar w:fldCharType="begin"/>
    </w:r>
    <w:r>
      <w:rPr>
        <w:rFonts w:ascii="Times New Roman" w:hAnsi="Times New Roman"/>
      </w:rPr>
      <w:instrText xml:space="preserve"> DATE \@ "dd/MM/yyyy" </w:instrText>
    </w:r>
    <w:r>
      <w:rPr>
        <w:rFonts w:ascii="Times New Roman" w:hAnsi="Times New Roman"/>
      </w:rPr>
      <w:fldChar w:fldCharType="separate"/>
    </w:r>
    <w:r w:rsidR="00DD0615">
      <w:rPr>
        <w:rFonts w:ascii="Times New Roman" w:hAnsi="Times New Roman"/>
        <w:noProof/>
      </w:rPr>
      <w:t>27/02/2024</w:t>
    </w:r>
    <w:r>
      <w:rPr>
        <w:rFonts w:ascii="Times New Roman" w:hAnsi="Times New Roman"/>
      </w:rPr>
      <w:fldChar w:fldCharType="end"/>
    </w:r>
  </w:p>
  <w:p w14:paraId="14F7DCB7" w14:textId="77777777" w:rsidR="00A27AD9" w:rsidRDefault="00A27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1EE"/>
    <w:multiLevelType w:val="multilevel"/>
    <w:tmpl w:val="3282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43724"/>
    <w:multiLevelType w:val="hybridMultilevel"/>
    <w:tmpl w:val="81A2C72A"/>
    <w:lvl w:ilvl="0" w:tplc="32C4151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671295">
    <w:abstractNumId w:val="1"/>
  </w:num>
  <w:num w:numId="2" w16cid:durableId="80658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74"/>
    <w:rsid w:val="0001245F"/>
    <w:rsid w:val="0005434C"/>
    <w:rsid w:val="00095FD3"/>
    <w:rsid w:val="001378D7"/>
    <w:rsid w:val="00141F22"/>
    <w:rsid w:val="001C46A9"/>
    <w:rsid w:val="0020454B"/>
    <w:rsid w:val="00214413"/>
    <w:rsid w:val="00247672"/>
    <w:rsid w:val="002608FF"/>
    <w:rsid w:val="002974CC"/>
    <w:rsid w:val="002A6AE0"/>
    <w:rsid w:val="002C6F6B"/>
    <w:rsid w:val="002F0168"/>
    <w:rsid w:val="0033592E"/>
    <w:rsid w:val="00360DC5"/>
    <w:rsid w:val="003848A8"/>
    <w:rsid w:val="003A2A19"/>
    <w:rsid w:val="003B78AC"/>
    <w:rsid w:val="003C6464"/>
    <w:rsid w:val="003D2F71"/>
    <w:rsid w:val="003E58CA"/>
    <w:rsid w:val="00486F5F"/>
    <w:rsid w:val="004B470E"/>
    <w:rsid w:val="004D5D8A"/>
    <w:rsid w:val="004F3F1A"/>
    <w:rsid w:val="005F6138"/>
    <w:rsid w:val="005F7E63"/>
    <w:rsid w:val="00631D4B"/>
    <w:rsid w:val="006437AD"/>
    <w:rsid w:val="00645C6F"/>
    <w:rsid w:val="00671617"/>
    <w:rsid w:val="006F5B5C"/>
    <w:rsid w:val="00791C74"/>
    <w:rsid w:val="007D6A6B"/>
    <w:rsid w:val="007F4F65"/>
    <w:rsid w:val="008544A5"/>
    <w:rsid w:val="008A73F8"/>
    <w:rsid w:val="008B7B5F"/>
    <w:rsid w:val="008E517E"/>
    <w:rsid w:val="00911C91"/>
    <w:rsid w:val="009568FA"/>
    <w:rsid w:val="009837B5"/>
    <w:rsid w:val="00A17407"/>
    <w:rsid w:val="00A27AD9"/>
    <w:rsid w:val="00A30546"/>
    <w:rsid w:val="00AC57D4"/>
    <w:rsid w:val="00B1386F"/>
    <w:rsid w:val="00B434BA"/>
    <w:rsid w:val="00B771AC"/>
    <w:rsid w:val="00BD25DA"/>
    <w:rsid w:val="00BE5826"/>
    <w:rsid w:val="00BF0A34"/>
    <w:rsid w:val="00C723C9"/>
    <w:rsid w:val="00C9610B"/>
    <w:rsid w:val="00D24593"/>
    <w:rsid w:val="00D57474"/>
    <w:rsid w:val="00D65667"/>
    <w:rsid w:val="00D67B3A"/>
    <w:rsid w:val="00D95D58"/>
    <w:rsid w:val="00DD0615"/>
    <w:rsid w:val="00DE782B"/>
    <w:rsid w:val="00E373D2"/>
    <w:rsid w:val="00F03CF7"/>
    <w:rsid w:val="00F3499D"/>
    <w:rsid w:val="00F63F8F"/>
    <w:rsid w:val="00F86187"/>
    <w:rsid w:val="00FC5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E3D5A3"/>
  <w15:chartTrackingRefBased/>
  <w15:docId w15:val="{C5E70F28-F6E6-5340-873B-A1225AE3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568FA"/>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7AD9"/>
    <w:pPr>
      <w:tabs>
        <w:tab w:val="center" w:pos="4536"/>
        <w:tab w:val="right" w:pos="9072"/>
      </w:tabs>
    </w:pPr>
  </w:style>
  <w:style w:type="character" w:customStyle="1" w:styleId="En-tteCar">
    <w:name w:val="En-tête Car"/>
    <w:basedOn w:val="Policepardfaut"/>
    <w:link w:val="En-tte"/>
    <w:uiPriority w:val="99"/>
    <w:rsid w:val="00A27AD9"/>
  </w:style>
  <w:style w:type="paragraph" w:styleId="Pieddepage">
    <w:name w:val="footer"/>
    <w:basedOn w:val="Normal"/>
    <w:link w:val="PieddepageCar"/>
    <w:uiPriority w:val="99"/>
    <w:unhideWhenUsed/>
    <w:rsid w:val="00A27AD9"/>
    <w:pPr>
      <w:tabs>
        <w:tab w:val="center" w:pos="4536"/>
        <w:tab w:val="right" w:pos="9072"/>
      </w:tabs>
    </w:pPr>
  </w:style>
  <w:style w:type="character" w:customStyle="1" w:styleId="PieddepageCar">
    <w:name w:val="Pied de page Car"/>
    <w:basedOn w:val="Policepardfaut"/>
    <w:link w:val="Pieddepage"/>
    <w:uiPriority w:val="99"/>
    <w:rsid w:val="00A27AD9"/>
  </w:style>
  <w:style w:type="paragraph" w:styleId="Notedebasdepage">
    <w:name w:val="footnote text"/>
    <w:basedOn w:val="Normal"/>
    <w:link w:val="NotedebasdepageCar"/>
    <w:uiPriority w:val="99"/>
    <w:semiHidden/>
    <w:unhideWhenUsed/>
    <w:rsid w:val="00AC57D4"/>
    <w:rPr>
      <w:sz w:val="20"/>
      <w:szCs w:val="20"/>
    </w:rPr>
  </w:style>
  <w:style w:type="character" w:customStyle="1" w:styleId="NotedebasdepageCar">
    <w:name w:val="Note de bas de page Car"/>
    <w:basedOn w:val="Policepardfaut"/>
    <w:link w:val="Notedebasdepage"/>
    <w:uiPriority w:val="99"/>
    <w:semiHidden/>
    <w:rsid w:val="00AC57D4"/>
    <w:rPr>
      <w:sz w:val="20"/>
      <w:szCs w:val="20"/>
    </w:rPr>
  </w:style>
  <w:style w:type="character" w:styleId="Appelnotedebasdep">
    <w:name w:val="footnote reference"/>
    <w:basedOn w:val="Policepardfaut"/>
    <w:uiPriority w:val="99"/>
    <w:semiHidden/>
    <w:unhideWhenUsed/>
    <w:rsid w:val="00AC57D4"/>
    <w:rPr>
      <w:vertAlign w:val="superscript"/>
    </w:rPr>
  </w:style>
  <w:style w:type="character" w:customStyle="1" w:styleId="Titre1Car">
    <w:name w:val="Titre 1 Car"/>
    <w:basedOn w:val="Policepardfaut"/>
    <w:link w:val="Titre1"/>
    <w:uiPriority w:val="9"/>
    <w:rsid w:val="009568FA"/>
    <w:rPr>
      <w:rFonts w:ascii="Times New Roman" w:eastAsia="Times New Roman" w:hAnsi="Times New Roman" w:cs="Times New Roman"/>
      <w:b/>
      <w:bCs/>
      <w:kern w:val="36"/>
      <w:sz w:val="48"/>
      <w:szCs w:val="48"/>
      <w:lang w:eastAsia="fr-FR"/>
      <w14:ligatures w14:val="none"/>
    </w:rPr>
  </w:style>
  <w:style w:type="paragraph" w:customStyle="1" w:styleId="content-meta-dataauthors">
    <w:name w:val="content-meta-data__authors"/>
    <w:basedOn w:val="Normal"/>
    <w:rsid w:val="009568F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9568FA"/>
    <w:rPr>
      <w:color w:val="0000FF"/>
      <w:u w:val="single"/>
    </w:rPr>
  </w:style>
  <w:style w:type="character" w:styleId="Mentionnonrsolue">
    <w:name w:val="Unresolved Mention"/>
    <w:basedOn w:val="Policepardfaut"/>
    <w:uiPriority w:val="99"/>
    <w:semiHidden/>
    <w:unhideWhenUsed/>
    <w:rsid w:val="009837B5"/>
    <w:rPr>
      <w:color w:val="605E5C"/>
      <w:shd w:val="clear" w:color="auto" w:fill="E1DFDD"/>
    </w:rPr>
  </w:style>
  <w:style w:type="paragraph" w:styleId="Paragraphedeliste">
    <w:name w:val="List Paragraph"/>
    <w:basedOn w:val="Normal"/>
    <w:uiPriority w:val="34"/>
    <w:qFormat/>
    <w:rsid w:val="00F86187"/>
    <w:pPr>
      <w:ind w:left="720"/>
      <w:contextualSpacing/>
    </w:pPr>
  </w:style>
  <w:style w:type="character" w:customStyle="1" w:styleId="apple-converted-space">
    <w:name w:val="apple-converted-space"/>
    <w:basedOn w:val="Policepardfaut"/>
    <w:rsid w:val="002608FF"/>
  </w:style>
  <w:style w:type="character" w:styleId="Accentuation">
    <w:name w:val="Emphasis"/>
    <w:basedOn w:val="Policepardfaut"/>
    <w:uiPriority w:val="20"/>
    <w:qFormat/>
    <w:rsid w:val="00260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182">
      <w:bodyDiv w:val="1"/>
      <w:marLeft w:val="0"/>
      <w:marRight w:val="0"/>
      <w:marTop w:val="0"/>
      <w:marBottom w:val="0"/>
      <w:divBdr>
        <w:top w:val="none" w:sz="0" w:space="0" w:color="auto"/>
        <w:left w:val="none" w:sz="0" w:space="0" w:color="auto"/>
        <w:bottom w:val="none" w:sz="0" w:space="0" w:color="auto"/>
        <w:right w:val="none" w:sz="0" w:space="0" w:color="auto"/>
      </w:divBdr>
      <w:divsChild>
        <w:div w:id="999769007">
          <w:marLeft w:val="0"/>
          <w:marRight w:val="0"/>
          <w:marTop w:val="0"/>
          <w:marBottom w:val="0"/>
          <w:divBdr>
            <w:top w:val="none" w:sz="0" w:space="0" w:color="auto"/>
            <w:left w:val="none" w:sz="0" w:space="0" w:color="auto"/>
            <w:bottom w:val="none" w:sz="0" w:space="0" w:color="auto"/>
            <w:right w:val="none" w:sz="0" w:space="0" w:color="auto"/>
          </w:divBdr>
        </w:div>
        <w:div w:id="1399472226">
          <w:marLeft w:val="0"/>
          <w:marRight w:val="0"/>
          <w:marTop w:val="0"/>
          <w:marBottom w:val="0"/>
          <w:divBdr>
            <w:top w:val="none" w:sz="0" w:space="0" w:color="auto"/>
            <w:left w:val="none" w:sz="0" w:space="0" w:color="auto"/>
            <w:bottom w:val="none" w:sz="0" w:space="0" w:color="auto"/>
            <w:right w:val="none" w:sz="0" w:space="0" w:color="auto"/>
          </w:divBdr>
          <w:divsChild>
            <w:div w:id="1305620395">
              <w:marLeft w:val="0"/>
              <w:marRight w:val="0"/>
              <w:marTop w:val="0"/>
              <w:marBottom w:val="0"/>
              <w:divBdr>
                <w:top w:val="none" w:sz="0" w:space="0" w:color="auto"/>
                <w:left w:val="none" w:sz="0" w:space="0" w:color="auto"/>
                <w:bottom w:val="none" w:sz="0" w:space="0" w:color="auto"/>
                <w:right w:val="none" w:sz="0" w:space="0" w:color="auto"/>
              </w:divBdr>
              <w:divsChild>
                <w:div w:id="969869689">
                  <w:marLeft w:val="0"/>
                  <w:marRight w:val="0"/>
                  <w:marTop w:val="0"/>
                  <w:marBottom w:val="0"/>
                  <w:divBdr>
                    <w:top w:val="none" w:sz="0" w:space="0" w:color="auto"/>
                    <w:left w:val="none" w:sz="0" w:space="0" w:color="auto"/>
                    <w:bottom w:val="none" w:sz="0" w:space="0" w:color="auto"/>
                    <w:right w:val="none" w:sz="0" w:space="0" w:color="auto"/>
                  </w:divBdr>
                </w:div>
                <w:div w:id="1971549689">
                  <w:marLeft w:val="0"/>
                  <w:marRight w:val="0"/>
                  <w:marTop w:val="0"/>
                  <w:marBottom w:val="0"/>
                  <w:divBdr>
                    <w:top w:val="none" w:sz="0" w:space="0" w:color="auto"/>
                    <w:left w:val="none" w:sz="0" w:space="0" w:color="auto"/>
                    <w:bottom w:val="none" w:sz="0" w:space="0" w:color="auto"/>
                    <w:right w:val="none" w:sz="0" w:space="0" w:color="auto"/>
                  </w:divBdr>
                </w:div>
                <w:div w:id="1797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jstor.org/stable/41089848?read-now=1&amp;seq=7" TargetMode="External"/><Relationship Id="rId1" Type="http://schemas.openxmlformats.org/officeDocument/2006/relationships/hyperlink" Target="https://www.jstor.org/stable/i400481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11151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Genin</dc:creator>
  <cp:keywords/>
  <dc:description/>
  <cp:lastModifiedBy>Shahida Minot</cp:lastModifiedBy>
  <cp:revision>2</cp:revision>
  <dcterms:created xsi:type="dcterms:W3CDTF">2024-02-27T08:46:00Z</dcterms:created>
  <dcterms:modified xsi:type="dcterms:W3CDTF">2024-02-27T08:46:00Z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2024-02-27T08:46:41Z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441b5190-90cd-4d63-ab2c-9bb6e5aa6748</vt:lpwstr>
  </property>
  <property fmtid="{D5CDD505-2E9C-101B-9397-08002B2CF9AE}" pid="8" name="MSIP_Label_d5c20be7-c3a5-46e3-9158-fa8a02ce2395_ContentBits">
    <vt:lpwstr>0</vt:lpwstr>
  </property>
</Properties>
</file>